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335C19" w:rsidRDefault="001521B7" w:rsidP="000607BA">
      <w:pPr>
        <w:spacing w:after="0" w:line="360" w:lineRule="auto"/>
        <w:jc w:val="both"/>
        <w:rPr>
          <w:rFonts w:ascii="Palatino Linotype" w:hAnsi="Palatino Linotype"/>
          <w:b/>
        </w:rPr>
      </w:pPr>
      <w:r w:rsidRPr="00335C19">
        <w:rPr>
          <w:rFonts w:ascii="Palatino Linotype" w:hAnsi="Palatino Linotype"/>
          <w:b/>
        </w:rPr>
        <w:t xml:space="preserve">VOTO PARTICULAR CONCURRENTE QUE FORMULAN EL COMISIONADO JAVIER MARTÍNEZ CRUZ Y LA COMISIONADA </w:t>
      </w:r>
      <w:r w:rsidR="00020595" w:rsidRPr="00335C19">
        <w:rPr>
          <w:rFonts w:ascii="Palatino Linotype" w:hAnsi="Palatino Linotype"/>
          <w:b/>
        </w:rPr>
        <w:t>EVA ABAID YAPUR</w:t>
      </w:r>
      <w:r w:rsidRPr="00335C19">
        <w:rPr>
          <w:rFonts w:ascii="Palatino Linotype" w:hAnsi="Palatino Linotype"/>
          <w:b/>
        </w:rPr>
        <w:t xml:space="preserve">, EN RELACIÓN CON LA RESOLUCIÓN DICTADA POR EL PLENO DEL INSTITUTO DE TRANSPARENCIA, ACCESO A LA INFORMACIÓN PÚBLICA Y PROTECCIÓN DE DATOS PERSONALES DEL ESTADO DE MÉXICO Y MUNICIPIOS, EN LA </w:t>
      </w:r>
      <w:r w:rsidR="00020595" w:rsidRPr="00335C19">
        <w:rPr>
          <w:rFonts w:ascii="Palatino Linotype" w:hAnsi="Palatino Linotype"/>
          <w:b/>
        </w:rPr>
        <w:t xml:space="preserve">TRIGÉSIMA CUARTA </w:t>
      </w:r>
      <w:r w:rsidR="00AE35F2" w:rsidRPr="00335C19">
        <w:rPr>
          <w:rFonts w:ascii="Palatino Linotype" w:hAnsi="Palatino Linotype"/>
          <w:b/>
        </w:rPr>
        <w:t xml:space="preserve">SESIÓN </w:t>
      </w:r>
      <w:r w:rsidRPr="00335C19">
        <w:rPr>
          <w:rFonts w:ascii="Palatino Linotype" w:hAnsi="Palatino Linotype"/>
          <w:b/>
        </w:rPr>
        <w:t xml:space="preserve">ORDINARIA DEL </w:t>
      </w:r>
      <w:r w:rsidR="003A25DC" w:rsidRPr="00335C19">
        <w:rPr>
          <w:rFonts w:ascii="Palatino Linotype" w:hAnsi="Palatino Linotype"/>
          <w:b/>
        </w:rPr>
        <w:t xml:space="preserve">DÍA </w:t>
      </w:r>
      <w:r w:rsidR="00020595" w:rsidRPr="00335C19">
        <w:rPr>
          <w:rFonts w:ascii="Palatino Linotype" w:hAnsi="Palatino Linotype"/>
          <w:b/>
        </w:rPr>
        <w:t>DIECINUEVE DE SEPTIEMBRE</w:t>
      </w:r>
      <w:r w:rsidR="00143624" w:rsidRPr="00335C19">
        <w:rPr>
          <w:rFonts w:ascii="Palatino Linotype" w:hAnsi="Palatino Linotype"/>
          <w:b/>
        </w:rPr>
        <w:t xml:space="preserve"> </w:t>
      </w:r>
      <w:r w:rsidRPr="00335C19">
        <w:rPr>
          <w:rFonts w:ascii="Palatino Linotype" w:hAnsi="Palatino Linotype"/>
          <w:b/>
        </w:rPr>
        <w:t>DE DOS MIL DIECI</w:t>
      </w:r>
      <w:r w:rsidR="00143624" w:rsidRPr="00335C19">
        <w:rPr>
          <w:rFonts w:ascii="Palatino Linotype" w:hAnsi="Palatino Linotype"/>
          <w:b/>
        </w:rPr>
        <w:t>OCHO</w:t>
      </w:r>
      <w:r w:rsidRPr="00335C19">
        <w:rPr>
          <w:rFonts w:ascii="Palatino Linotype" w:hAnsi="Palatino Linotype"/>
          <w:b/>
        </w:rPr>
        <w:t>, EN EL RECURSO DE REVISIÓN 0</w:t>
      </w:r>
      <w:r w:rsidR="00020595" w:rsidRPr="00335C19">
        <w:rPr>
          <w:rFonts w:ascii="Palatino Linotype" w:hAnsi="Palatino Linotype"/>
          <w:b/>
        </w:rPr>
        <w:t>2720</w:t>
      </w:r>
      <w:r w:rsidR="00143624" w:rsidRPr="00335C19">
        <w:rPr>
          <w:rFonts w:ascii="Palatino Linotype" w:hAnsi="Palatino Linotype"/>
          <w:b/>
        </w:rPr>
        <w:t>/INFOEM/IP/RR/2018</w:t>
      </w:r>
      <w:r w:rsidRPr="00335C19">
        <w:rPr>
          <w:rFonts w:ascii="Palatino Linotype" w:hAnsi="Palatino Linotype"/>
          <w:b/>
        </w:rPr>
        <w:t>.</w:t>
      </w:r>
    </w:p>
    <w:p w:rsidR="004B391C" w:rsidRPr="00335C19" w:rsidRDefault="004B391C" w:rsidP="001521B7">
      <w:pPr>
        <w:spacing w:after="0" w:line="360" w:lineRule="auto"/>
        <w:jc w:val="both"/>
        <w:rPr>
          <w:rFonts w:ascii="Palatino Linotype" w:hAnsi="Palatino Linotype"/>
        </w:rPr>
      </w:pPr>
    </w:p>
    <w:p w:rsidR="001521B7" w:rsidRPr="00335C19" w:rsidRDefault="00661C85" w:rsidP="001521B7">
      <w:pPr>
        <w:spacing w:after="0" w:line="360" w:lineRule="auto"/>
        <w:jc w:val="both"/>
        <w:rPr>
          <w:rFonts w:ascii="Palatino Linotype" w:hAnsi="Palatino Linotype"/>
        </w:rPr>
      </w:pPr>
      <w:r w:rsidRPr="00335C19">
        <w:rPr>
          <w:rFonts w:ascii="Palatino Linotype" w:hAnsi="Palatino Linotype"/>
        </w:rPr>
        <w:t>Con fundamento en lo dispuesto por el artículo 14</w:t>
      </w:r>
      <w:r w:rsidR="002D3ACC" w:rsidRPr="00335C19">
        <w:rPr>
          <w:rFonts w:ascii="Palatino Linotype" w:hAnsi="Palatino Linotype"/>
        </w:rPr>
        <w:t>, fracciones</w:t>
      </w:r>
      <w:r w:rsidRPr="00335C19">
        <w:rPr>
          <w:rFonts w:ascii="Palatino Linotype" w:hAnsi="Palatino Linotype"/>
        </w:rPr>
        <w:t xml:space="preserve"> X y XI del Reglamento Interior del Instituto de Transparencia, Acceso a la Información Pública y Protección de Datos Personales del Estado de México y Municipios, </w:t>
      </w:r>
      <w:r w:rsidR="00CC2D22" w:rsidRPr="00335C19">
        <w:rPr>
          <w:rFonts w:ascii="Palatino Linotype" w:hAnsi="Palatino Linotype"/>
        </w:rPr>
        <w:t xml:space="preserve">los Comisionados Javier Martínez Cruz y </w:t>
      </w:r>
      <w:r w:rsidR="003A25DC" w:rsidRPr="00335C19">
        <w:rPr>
          <w:rFonts w:ascii="Palatino Linotype" w:hAnsi="Palatino Linotype"/>
        </w:rPr>
        <w:t>Eva Abaid Yapur</w:t>
      </w:r>
      <w:r w:rsidR="001528D6" w:rsidRPr="00335C19">
        <w:rPr>
          <w:rFonts w:ascii="Palatino Linotype" w:hAnsi="Palatino Linotype"/>
        </w:rPr>
        <w:t xml:space="preserve"> </w:t>
      </w:r>
      <w:r w:rsidR="00CC2D22" w:rsidRPr="00335C19">
        <w:rPr>
          <w:rFonts w:ascii="Palatino Linotype" w:hAnsi="Palatino Linotype"/>
        </w:rPr>
        <w:t xml:space="preserve">emiten VOTO PARTICULAR CONCURRENTE respecto a la resolución dictada en el recurso de revisión número </w:t>
      </w:r>
      <w:r w:rsidR="00143624" w:rsidRPr="00335C19">
        <w:rPr>
          <w:rFonts w:ascii="Palatino Linotype" w:hAnsi="Palatino Linotype"/>
        </w:rPr>
        <w:t>0</w:t>
      </w:r>
      <w:r w:rsidR="003A25DC" w:rsidRPr="00335C19">
        <w:rPr>
          <w:rFonts w:ascii="Palatino Linotype" w:hAnsi="Palatino Linotype"/>
        </w:rPr>
        <w:t>2720</w:t>
      </w:r>
      <w:r w:rsidR="00143624" w:rsidRPr="00335C19">
        <w:rPr>
          <w:rFonts w:ascii="Palatino Linotype" w:hAnsi="Palatino Linotype"/>
        </w:rPr>
        <w:t>/</w:t>
      </w:r>
      <w:r w:rsidRPr="00335C19">
        <w:rPr>
          <w:rFonts w:ascii="Palatino Linotype" w:hAnsi="Palatino Linotype"/>
        </w:rPr>
        <w:t>INFOEM/IP/RR/201</w:t>
      </w:r>
      <w:r w:rsidR="00143624" w:rsidRPr="00335C19">
        <w:rPr>
          <w:rFonts w:ascii="Palatino Linotype" w:hAnsi="Palatino Linotype"/>
        </w:rPr>
        <w:t>8</w:t>
      </w:r>
      <w:r w:rsidRPr="00335C19">
        <w:rPr>
          <w:rFonts w:ascii="Palatino Linotype" w:hAnsi="Palatino Linotype"/>
        </w:rPr>
        <w:t xml:space="preserve">, pronunciada por el Pleno de este Instituto ante el proyecto presentado por </w:t>
      </w:r>
      <w:r w:rsidR="00143624" w:rsidRPr="00335C19">
        <w:rPr>
          <w:rFonts w:ascii="Palatino Linotype" w:hAnsi="Palatino Linotype"/>
        </w:rPr>
        <w:t>l</w:t>
      </w:r>
      <w:r w:rsidR="003A25DC" w:rsidRPr="00335C19">
        <w:rPr>
          <w:rFonts w:ascii="Palatino Linotype" w:hAnsi="Palatino Linotype"/>
        </w:rPr>
        <w:t>a</w:t>
      </w:r>
      <w:r w:rsidR="00143624" w:rsidRPr="00335C19">
        <w:rPr>
          <w:rFonts w:ascii="Palatino Linotype" w:hAnsi="Palatino Linotype"/>
        </w:rPr>
        <w:t xml:space="preserve"> Comisionad</w:t>
      </w:r>
      <w:r w:rsidR="003A25DC" w:rsidRPr="00335C19">
        <w:rPr>
          <w:rFonts w:ascii="Palatino Linotype" w:hAnsi="Palatino Linotype"/>
        </w:rPr>
        <w:t>a Zulema Martínez Sánchez</w:t>
      </w:r>
      <w:r w:rsidR="00AE35F2" w:rsidRPr="00335C19">
        <w:rPr>
          <w:rFonts w:ascii="Palatino Linotype" w:hAnsi="Palatino Linotype"/>
        </w:rPr>
        <w:t xml:space="preserve">, </w:t>
      </w:r>
      <w:r w:rsidRPr="00335C19">
        <w:rPr>
          <w:rFonts w:ascii="Palatino Linotype" w:hAnsi="Palatino Linotype"/>
        </w:rPr>
        <w:t xml:space="preserve">que es del tenor siguiente: </w:t>
      </w:r>
    </w:p>
    <w:p w:rsidR="001521B7" w:rsidRPr="00335C19" w:rsidRDefault="001521B7" w:rsidP="0015034F">
      <w:pPr>
        <w:spacing w:after="0" w:line="240" w:lineRule="auto"/>
        <w:jc w:val="both"/>
        <w:rPr>
          <w:rFonts w:ascii="Palatino Linotype" w:hAnsi="Palatino Linotype"/>
        </w:rPr>
      </w:pPr>
    </w:p>
    <w:p w:rsidR="00314438" w:rsidRPr="00335C19" w:rsidRDefault="00314438" w:rsidP="00314438">
      <w:pPr>
        <w:spacing w:before="120" w:after="120" w:line="360" w:lineRule="auto"/>
        <w:jc w:val="both"/>
        <w:rPr>
          <w:rFonts w:ascii="Palatino Linotype" w:hAnsi="Palatino Linotype" w:cs="Arial"/>
          <w:bCs/>
          <w:lang w:val="es-ES"/>
        </w:rPr>
      </w:pPr>
      <w:r w:rsidRPr="00335C19">
        <w:rPr>
          <w:rFonts w:ascii="Palatino Linotype" w:hAnsi="Palatino Linotype"/>
        </w:rPr>
        <w:t xml:space="preserve">De manera previa a la emisión del presente voto, cabe precisar que la materia en que radicó el recurso de revisión, fue que la particular </w:t>
      </w:r>
      <w:r w:rsidRPr="00335C19">
        <w:rPr>
          <w:rFonts w:ascii="Palatino Linotype" w:hAnsi="Palatino Linotype" w:cs="Arial"/>
          <w:bCs/>
          <w:lang w:val="es-ES"/>
        </w:rPr>
        <w:t xml:space="preserve">requirió al Sujeto Obligado “Poder Judicial” del Estado de México, copias certificadas con costo de todo lo actuado en el expediente </w:t>
      </w:r>
      <w:r w:rsidR="00A25BBF">
        <w:rPr>
          <w:rFonts w:ascii="Palatino Linotype" w:hAnsi="Palatino Linotype" w:cs="Arial"/>
          <w:bCs/>
          <w:lang w:val="es-ES"/>
        </w:rPr>
        <w:t>XXXXX</w:t>
      </w:r>
      <w:bookmarkStart w:id="0" w:name="_GoBack"/>
      <w:bookmarkEnd w:id="0"/>
      <w:r w:rsidRPr="00335C19">
        <w:rPr>
          <w:rFonts w:ascii="Palatino Linotype" w:hAnsi="Palatino Linotype" w:cs="Arial"/>
          <w:bCs/>
          <w:lang w:val="es-ES"/>
        </w:rPr>
        <w:t xml:space="preserve"> </w:t>
      </w:r>
      <w:r w:rsidR="00AD2489" w:rsidRPr="00335C19">
        <w:rPr>
          <w:rFonts w:ascii="Palatino Linotype" w:hAnsi="Palatino Linotype" w:cs="Arial"/>
          <w:bCs/>
          <w:lang w:val="es-ES"/>
        </w:rPr>
        <w:t xml:space="preserve">radicado </w:t>
      </w:r>
      <w:r w:rsidRPr="00335C19">
        <w:rPr>
          <w:rFonts w:ascii="Palatino Linotype" w:hAnsi="Palatino Linotype" w:cs="Arial"/>
          <w:bCs/>
          <w:lang w:val="es-ES"/>
        </w:rPr>
        <w:t xml:space="preserve">en el </w:t>
      </w:r>
      <w:r w:rsidR="00AD2489" w:rsidRPr="00335C19">
        <w:rPr>
          <w:rFonts w:ascii="Palatino Linotype" w:hAnsi="Palatino Linotype" w:cs="Arial"/>
          <w:bCs/>
          <w:lang w:val="es-ES"/>
        </w:rPr>
        <w:t>J</w:t>
      </w:r>
      <w:r w:rsidRPr="00335C19">
        <w:rPr>
          <w:rFonts w:ascii="Palatino Linotype" w:hAnsi="Palatino Linotype" w:cs="Arial"/>
          <w:bCs/>
          <w:lang w:val="es-ES"/>
        </w:rPr>
        <w:t>uzga</w:t>
      </w:r>
      <w:r w:rsidR="00AD2489" w:rsidRPr="00335C19">
        <w:rPr>
          <w:rFonts w:ascii="Palatino Linotype" w:hAnsi="Palatino Linotype" w:cs="Arial"/>
          <w:bCs/>
          <w:lang w:val="es-ES"/>
        </w:rPr>
        <w:t xml:space="preserve">do Décimo Civil de Huixquilucan. </w:t>
      </w:r>
    </w:p>
    <w:p w:rsidR="006B56E1" w:rsidRPr="00335C19" w:rsidRDefault="00BA36B1" w:rsidP="00314438">
      <w:pPr>
        <w:spacing w:before="120" w:after="120" w:line="360" w:lineRule="auto"/>
        <w:jc w:val="both"/>
        <w:rPr>
          <w:rFonts w:ascii="Palatino Linotype" w:hAnsi="Palatino Linotype" w:cs="Arial"/>
          <w:bCs/>
          <w:lang w:val="es-ES"/>
        </w:rPr>
      </w:pPr>
      <w:r w:rsidRPr="00335C19">
        <w:rPr>
          <w:rFonts w:ascii="Palatino Linotype" w:hAnsi="Palatino Linotype" w:cs="Arial"/>
          <w:bCs/>
          <w:lang w:val="es-ES"/>
        </w:rPr>
        <w:t>Así, de las constancias que obran en el SAIMEX, e</w:t>
      </w:r>
      <w:r w:rsidR="00531DBB" w:rsidRPr="00335C19">
        <w:rPr>
          <w:rFonts w:ascii="Palatino Linotype" w:hAnsi="Palatino Linotype" w:cs="Arial"/>
          <w:bCs/>
          <w:lang w:val="es-ES"/>
        </w:rPr>
        <w:t>l Sujeto Obligado requirió a la particular que ampliara los datos de lo peticionado, to</w:t>
      </w:r>
      <w:r w:rsidR="00624FDE" w:rsidRPr="00335C19">
        <w:rPr>
          <w:rFonts w:ascii="Palatino Linotype" w:hAnsi="Palatino Linotype" w:cs="Arial"/>
          <w:bCs/>
          <w:lang w:val="es-ES"/>
        </w:rPr>
        <w:t>da vez que no se cuenta con un J</w:t>
      </w:r>
      <w:r w:rsidR="00531DBB" w:rsidRPr="00335C19">
        <w:rPr>
          <w:rFonts w:ascii="Palatino Linotype" w:hAnsi="Palatino Linotype" w:cs="Arial"/>
          <w:bCs/>
          <w:lang w:val="es-ES"/>
        </w:rPr>
        <w:t>uzgado Décimo Civil en Huixquilucan</w:t>
      </w:r>
      <w:r w:rsidR="006B56E1" w:rsidRPr="00335C19">
        <w:rPr>
          <w:rFonts w:ascii="Palatino Linotype" w:hAnsi="Palatino Linotype" w:cs="Arial"/>
          <w:bCs/>
          <w:lang w:val="es-ES"/>
        </w:rPr>
        <w:t xml:space="preserve">. </w:t>
      </w:r>
    </w:p>
    <w:p w:rsidR="00314438" w:rsidRPr="00335C19" w:rsidRDefault="006B56E1" w:rsidP="00314438">
      <w:pPr>
        <w:spacing w:before="120" w:after="120" w:line="360" w:lineRule="auto"/>
        <w:jc w:val="both"/>
        <w:rPr>
          <w:rFonts w:ascii="Palatino Linotype" w:hAnsi="Palatino Linotype" w:cs="Arial"/>
          <w:bCs/>
          <w:lang w:val="es-ES"/>
        </w:rPr>
      </w:pPr>
      <w:r w:rsidRPr="00335C19">
        <w:rPr>
          <w:rFonts w:ascii="Palatino Linotype" w:hAnsi="Palatino Linotype" w:cs="Arial"/>
          <w:bCs/>
          <w:lang w:val="es-ES"/>
        </w:rPr>
        <w:lastRenderedPageBreak/>
        <w:t xml:space="preserve">En el desahogo del requerimiento, la peticionaria </w:t>
      </w:r>
      <w:r w:rsidR="00531DBB" w:rsidRPr="00335C19">
        <w:rPr>
          <w:rFonts w:ascii="Palatino Linotype" w:hAnsi="Palatino Linotype" w:cs="Arial"/>
          <w:bCs/>
          <w:lang w:val="es-ES"/>
        </w:rPr>
        <w:t xml:space="preserve">señaló el </w:t>
      </w:r>
      <w:r w:rsidR="009818E5" w:rsidRPr="00335C19">
        <w:rPr>
          <w:rFonts w:ascii="Palatino Linotype" w:hAnsi="Palatino Linotype" w:cs="Arial"/>
          <w:bCs/>
          <w:lang w:val="es-ES"/>
        </w:rPr>
        <w:t xml:space="preserve">Juzgado </w:t>
      </w:r>
      <w:r w:rsidR="00531DBB" w:rsidRPr="00335C19">
        <w:rPr>
          <w:rFonts w:ascii="Palatino Linotype" w:hAnsi="Palatino Linotype" w:cs="Arial"/>
          <w:bCs/>
          <w:lang w:val="es-ES"/>
        </w:rPr>
        <w:t>Décimo Familiar</w:t>
      </w:r>
      <w:r w:rsidR="009818E5" w:rsidRPr="00335C19">
        <w:rPr>
          <w:rFonts w:ascii="Palatino Linotype" w:hAnsi="Palatino Linotype" w:cs="Arial"/>
          <w:bCs/>
          <w:lang w:val="es-ES"/>
        </w:rPr>
        <w:t xml:space="preserve"> de Tlalnepantla (Huixquilucan) y manifestó estar impedida para </w:t>
      </w:r>
      <w:r w:rsidR="008C789B" w:rsidRPr="00335C19">
        <w:rPr>
          <w:rFonts w:ascii="Palatino Linotype" w:hAnsi="Palatino Linotype" w:cs="Arial"/>
          <w:bCs/>
          <w:lang w:val="es-ES"/>
        </w:rPr>
        <w:t xml:space="preserve">proporcionar mayores datos, ya que no es parte dentro del procedimiento. </w:t>
      </w:r>
      <w:r w:rsidR="00531DBB" w:rsidRPr="00335C19">
        <w:rPr>
          <w:rFonts w:ascii="Palatino Linotype" w:hAnsi="Palatino Linotype" w:cs="Arial"/>
          <w:bCs/>
          <w:lang w:val="es-ES"/>
        </w:rPr>
        <w:t xml:space="preserve"> </w:t>
      </w:r>
      <w:r w:rsidR="00314438" w:rsidRPr="00335C19">
        <w:rPr>
          <w:rFonts w:ascii="Palatino Linotype" w:hAnsi="Palatino Linotype" w:cs="Arial"/>
          <w:bCs/>
          <w:lang w:val="es-ES"/>
        </w:rPr>
        <w:t xml:space="preserve"> </w:t>
      </w:r>
    </w:p>
    <w:p w:rsidR="00D75967" w:rsidRPr="00335C19" w:rsidRDefault="00B2599D" w:rsidP="00531DBB">
      <w:pPr>
        <w:spacing w:after="0" w:line="360" w:lineRule="auto"/>
        <w:jc w:val="both"/>
        <w:rPr>
          <w:rFonts w:ascii="Palatino Linotype" w:hAnsi="Palatino Linotype" w:cs="Arial"/>
        </w:rPr>
      </w:pPr>
      <w:r w:rsidRPr="00335C19">
        <w:rPr>
          <w:rFonts w:ascii="Palatino Linotype" w:hAnsi="Palatino Linotype" w:cs="Arial"/>
          <w:lang w:val="es-ES"/>
        </w:rPr>
        <w:t>En ese sentido, e</w:t>
      </w:r>
      <w:r w:rsidR="00314438" w:rsidRPr="00335C19">
        <w:rPr>
          <w:rFonts w:ascii="Palatino Linotype" w:hAnsi="Palatino Linotype" w:cs="Arial"/>
          <w:lang w:val="es-ES"/>
        </w:rPr>
        <w:t>l Sujeto Obligado respondió</w:t>
      </w:r>
      <w:r w:rsidR="00B23C9B" w:rsidRPr="00335C19">
        <w:rPr>
          <w:rFonts w:ascii="Palatino Linotype" w:hAnsi="Palatino Linotype" w:cs="Arial"/>
          <w:lang w:val="es-ES"/>
        </w:rPr>
        <w:t xml:space="preserve"> que </w:t>
      </w:r>
      <w:r w:rsidR="00531DBB" w:rsidRPr="00335C19">
        <w:rPr>
          <w:rFonts w:ascii="Palatino Linotype" w:hAnsi="Palatino Linotype" w:cs="Arial"/>
        </w:rPr>
        <w:t>no e</w:t>
      </w:r>
      <w:r w:rsidR="006B56E1" w:rsidRPr="00335C19">
        <w:rPr>
          <w:rFonts w:ascii="Palatino Linotype" w:hAnsi="Palatino Linotype" w:cs="Arial"/>
        </w:rPr>
        <w:t>ra</w:t>
      </w:r>
      <w:r w:rsidR="00531DBB" w:rsidRPr="00335C19">
        <w:rPr>
          <w:rFonts w:ascii="Palatino Linotype" w:hAnsi="Palatino Linotype" w:cs="Arial"/>
        </w:rPr>
        <w:t xml:space="preserve"> posible proporcionar la versión pública del expediente 612/2010 radicado en el Juzgado Décimo Civil de Primera Instancia del Distrito Judicial de Huixquilucan, </w:t>
      </w:r>
      <w:r w:rsidR="00531DBB" w:rsidRPr="00335C19">
        <w:rPr>
          <w:rFonts w:ascii="Palatino Linotype" w:hAnsi="Palatino Linotype" w:cs="Arial"/>
          <w:u w:val="single"/>
        </w:rPr>
        <w:t>toda vez que el expediente no h</w:t>
      </w:r>
      <w:r w:rsidRPr="00335C19">
        <w:rPr>
          <w:rFonts w:ascii="Palatino Linotype" w:hAnsi="Palatino Linotype" w:cs="Arial"/>
          <w:u w:val="single"/>
        </w:rPr>
        <w:t xml:space="preserve">abía </w:t>
      </w:r>
      <w:r w:rsidR="00531DBB" w:rsidRPr="00335C19">
        <w:rPr>
          <w:rFonts w:ascii="Palatino Linotype" w:hAnsi="Palatino Linotype" w:cs="Arial"/>
          <w:u w:val="single"/>
        </w:rPr>
        <w:t>quedado firme,</w:t>
      </w:r>
      <w:r w:rsidR="00531DBB" w:rsidRPr="00335C19">
        <w:rPr>
          <w:rFonts w:ascii="Palatino Linotype" w:hAnsi="Palatino Linotype" w:cs="Arial"/>
        </w:rPr>
        <w:t xml:space="preserve"> siendo esta una causal de reserva; </w:t>
      </w:r>
      <w:r w:rsidRPr="00335C19">
        <w:rPr>
          <w:rFonts w:ascii="Palatino Linotype" w:hAnsi="Palatino Linotype" w:cs="Arial"/>
        </w:rPr>
        <w:t xml:space="preserve"> por lo que </w:t>
      </w:r>
      <w:r w:rsidR="00531DBB" w:rsidRPr="00335C19">
        <w:rPr>
          <w:rFonts w:ascii="Palatino Linotype" w:hAnsi="Palatino Linotype" w:cs="Arial"/>
        </w:rPr>
        <w:t xml:space="preserve">el expediente fue clasificado como reservado por un plazo de cinco años o bien en tanto no </w:t>
      </w:r>
      <w:r w:rsidRPr="00335C19">
        <w:rPr>
          <w:rFonts w:ascii="Palatino Linotype" w:hAnsi="Palatino Linotype" w:cs="Arial"/>
        </w:rPr>
        <w:t xml:space="preserve">hubiese causado </w:t>
      </w:r>
      <w:r w:rsidR="00531DBB" w:rsidRPr="00335C19">
        <w:rPr>
          <w:rFonts w:ascii="Palatino Linotype" w:hAnsi="Palatino Linotype" w:cs="Arial"/>
        </w:rPr>
        <w:t xml:space="preserve">estado; </w:t>
      </w:r>
      <w:r w:rsidRPr="00335C19">
        <w:rPr>
          <w:rFonts w:ascii="Palatino Linotype" w:hAnsi="Palatino Linotype" w:cs="Arial"/>
        </w:rPr>
        <w:t xml:space="preserve">esto mediante la </w:t>
      </w:r>
      <w:r w:rsidR="00531DBB" w:rsidRPr="00335C19">
        <w:rPr>
          <w:rFonts w:ascii="Palatino Linotype" w:hAnsi="Palatino Linotype" w:cs="Arial"/>
        </w:rPr>
        <w:t xml:space="preserve">Sesión Ordinaria del Comité de Transparencia y Acceso a la Información Pública del Poder Judicial del Estado de México número 07/2018, </w:t>
      </w:r>
      <w:r w:rsidRPr="00335C19">
        <w:rPr>
          <w:rFonts w:ascii="Palatino Linotype" w:hAnsi="Palatino Linotype" w:cs="Arial"/>
        </w:rPr>
        <w:t xml:space="preserve">misma que puede </w:t>
      </w:r>
      <w:r w:rsidR="00531DBB" w:rsidRPr="00335C19">
        <w:rPr>
          <w:rFonts w:ascii="Palatino Linotype" w:hAnsi="Palatino Linotype" w:cs="Arial"/>
        </w:rPr>
        <w:t xml:space="preserve">ser consultada en el siguiente link </w:t>
      </w:r>
      <w:r w:rsidR="00D75967" w:rsidRPr="00335C19">
        <w:rPr>
          <w:rFonts w:ascii="Palatino Linotype" w:hAnsi="Palatino Linotype" w:cs="Arial"/>
        </w:rPr>
        <w:t>“</w:t>
      </w:r>
      <w:hyperlink r:id="rId8" w:anchor="…" w:history="1">
        <w:r w:rsidR="00D75967" w:rsidRPr="00335C19">
          <w:rPr>
            <w:rStyle w:val="Hipervnculo"/>
            <w:rFonts w:ascii="Palatino Linotype" w:hAnsi="Palatino Linotype" w:cs="Arial"/>
            <w:color w:val="auto"/>
            <w:u w:val="none"/>
          </w:rPr>
          <w:t>http://www.pjedomex.gob.mx/transparencia/#</w:t>
        </w:r>
      </w:hyperlink>
      <w:r w:rsidR="00D75967" w:rsidRPr="00335C19">
        <w:rPr>
          <w:rFonts w:ascii="Palatino Linotype" w:hAnsi="Palatino Linotype" w:cs="Arial"/>
        </w:rPr>
        <w:t>”.</w:t>
      </w:r>
    </w:p>
    <w:p w:rsidR="00314438" w:rsidRPr="00335C19" w:rsidRDefault="00314438" w:rsidP="002A5F7A">
      <w:pPr>
        <w:spacing w:after="0" w:line="240" w:lineRule="auto"/>
        <w:jc w:val="both"/>
        <w:rPr>
          <w:rFonts w:ascii="Palatino Linotype" w:hAnsi="Palatino Linotype"/>
          <w:color w:val="000000"/>
        </w:rPr>
      </w:pPr>
      <w:r w:rsidRPr="00335C19">
        <w:rPr>
          <w:rFonts w:ascii="Palatino Linotype" w:hAnsi="Palatino Linotype"/>
          <w:color w:val="000000"/>
        </w:rPr>
        <w:t xml:space="preserve">  </w:t>
      </w:r>
    </w:p>
    <w:p w:rsidR="00D75967" w:rsidRPr="00335C19" w:rsidRDefault="00314438" w:rsidP="00D75967">
      <w:pPr>
        <w:tabs>
          <w:tab w:val="left" w:pos="709"/>
        </w:tabs>
        <w:spacing w:after="0" w:line="360" w:lineRule="auto"/>
        <w:jc w:val="both"/>
        <w:rPr>
          <w:rFonts w:ascii="Palatino Linotype" w:hAnsi="Palatino Linotype" w:cs="Arial"/>
        </w:rPr>
      </w:pPr>
      <w:r w:rsidRPr="00335C19">
        <w:rPr>
          <w:rFonts w:ascii="Palatino Linotype" w:hAnsi="Palatino Linotype" w:cs="Arial"/>
          <w:color w:val="000000" w:themeColor="text1"/>
        </w:rPr>
        <w:t>Ante la respuesta,</w:t>
      </w:r>
      <w:r w:rsidR="002A5F7A" w:rsidRPr="00335C19">
        <w:rPr>
          <w:rFonts w:ascii="Palatino Linotype" w:hAnsi="Palatino Linotype" w:cs="Arial"/>
          <w:color w:val="000000" w:themeColor="text1"/>
        </w:rPr>
        <w:t xml:space="preserve"> </w:t>
      </w:r>
      <w:r w:rsidR="00D75967" w:rsidRPr="00335C19">
        <w:rPr>
          <w:rFonts w:ascii="Palatino Linotype" w:hAnsi="Palatino Linotype" w:cs="Arial"/>
          <w:color w:val="000000" w:themeColor="text1"/>
        </w:rPr>
        <w:t>la</w:t>
      </w:r>
      <w:r w:rsidR="002A5F7A" w:rsidRPr="00335C19">
        <w:rPr>
          <w:rFonts w:ascii="Palatino Linotype" w:hAnsi="Palatino Linotype" w:cs="Arial"/>
          <w:color w:val="000000" w:themeColor="text1"/>
        </w:rPr>
        <w:t xml:space="preserve"> </w:t>
      </w:r>
      <w:r w:rsidRPr="00335C19">
        <w:rPr>
          <w:rFonts w:ascii="Palatino Linotype" w:hAnsi="Palatino Linotype" w:cs="Arial"/>
          <w:color w:val="000000" w:themeColor="text1"/>
        </w:rPr>
        <w:t>Recurrente</w:t>
      </w:r>
      <w:r w:rsidR="00D75967" w:rsidRPr="00335C19">
        <w:rPr>
          <w:rFonts w:ascii="Palatino Linotype" w:hAnsi="Palatino Linotype" w:cs="Arial"/>
          <w:color w:val="000000" w:themeColor="text1"/>
        </w:rPr>
        <w:t xml:space="preserve"> procedió a través de presente recurso de revisión, señalando s</w:t>
      </w:r>
      <w:r w:rsidR="00D75967" w:rsidRPr="00335C19">
        <w:rPr>
          <w:rFonts w:ascii="Palatino Linotype" w:hAnsi="Palatino Linotype" w:cs="Arial"/>
        </w:rPr>
        <w:t>ustancialmente como motivo de inconformidad que dicha información no debería ser considerada como reservada, atendiendo a que tal expediente no ha tenido actuaciones.</w:t>
      </w:r>
    </w:p>
    <w:p w:rsidR="00314438" w:rsidRPr="00335C19" w:rsidRDefault="00314438" w:rsidP="00314438">
      <w:pPr>
        <w:spacing w:before="120" w:after="120" w:line="360" w:lineRule="auto"/>
        <w:jc w:val="both"/>
        <w:rPr>
          <w:rFonts w:ascii="Palatino Linotype" w:hAnsi="Palatino Linotype" w:cs="Arial"/>
          <w:lang w:val="es-ES"/>
        </w:rPr>
      </w:pPr>
      <w:r w:rsidRPr="00335C19">
        <w:rPr>
          <w:rFonts w:ascii="Palatino Linotype" w:hAnsi="Palatino Linotype" w:cs="Arial"/>
        </w:rPr>
        <w:t xml:space="preserve">Al respecto, el Sujeto Obligado rindió su informe justificado </w:t>
      </w:r>
      <w:r w:rsidR="00D677F6" w:rsidRPr="00335C19">
        <w:rPr>
          <w:rFonts w:ascii="Palatino Linotype" w:hAnsi="Palatino Linotype" w:cs="Arial"/>
        </w:rPr>
        <w:t>a través del archivo electrónico “</w:t>
      </w:r>
      <w:r w:rsidR="00D677F6" w:rsidRPr="00335C19">
        <w:rPr>
          <w:rFonts w:ascii="Palatino Linotype" w:hAnsi="Palatino Linotype" w:cs="Arial"/>
          <w:i/>
        </w:rPr>
        <w:t>180809 - Informe Justificado.docx</w:t>
      </w:r>
      <w:r w:rsidR="00D677F6" w:rsidRPr="00335C19">
        <w:rPr>
          <w:rFonts w:ascii="Palatino Linotype" w:hAnsi="Palatino Linotype" w:cs="Arial"/>
        </w:rPr>
        <w:t>”, mismo que se puso a la vista de la hoy Recurrente.</w:t>
      </w:r>
      <w:r w:rsidRPr="00335C19">
        <w:rPr>
          <w:rFonts w:ascii="Palatino Linotype" w:hAnsi="Palatino Linotype" w:cs="Arial"/>
        </w:rPr>
        <w:t xml:space="preserve"> </w:t>
      </w:r>
    </w:p>
    <w:p w:rsidR="00D677F6" w:rsidRPr="00335C19" w:rsidRDefault="00314438" w:rsidP="00D677F6">
      <w:pPr>
        <w:tabs>
          <w:tab w:val="left" w:pos="709"/>
        </w:tabs>
        <w:spacing w:after="0" w:line="360" w:lineRule="auto"/>
        <w:jc w:val="both"/>
        <w:rPr>
          <w:rFonts w:ascii="Palatino Linotype" w:hAnsi="Palatino Linotype" w:cs="Arial"/>
          <w:lang w:val="es-ES_tradnl"/>
        </w:rPr>
      </w:pPr>
      <w:r w:rsidRPr="00335C19">
        <w:rPr>
          <w:rFonts w:ascii="Palatino Linotype" w:hAnsi="Palatino Linotype" w:cs="Arial"/>
          <w:lang w:val="es-ES_tradnl"/>
        </w:rPr>
        <w:t xml:space="preserve">En ese tenor, la Ponencia resolutora </w:t>
      </w:r>
      <w:r w:rsidR="00D677F6" w:rsidRPr="00335C19">
        <w:rPr>
          <w:rFonts w:ascii="Palatino Linotype" w:hAnsi="Palatino Linotype" w:cs="Arial"/>
          <w:lang w:val="es-ES_tradnl"/>
        </w:rPr>
        <w:t xml:space="preserve">analizó el contenido del </w:t>
      </w:r>
      <w:r w:rsidR="00A70F6F" w:rsidRPr="00335C19">
        <w:rPr>
          <w:rFonts w:ascii="Palatino Linotype" w:hAnsi="Palatino Linotype" w:cs="Arial"/>
          <w:lang w:val="es-ES_tradnl"/>
        </w:rPr>
        <w:t>A</w:t>
      </w:r>
      <w:r w:rsidR="00D677F6" w:rsidRPr="00335C19">
        <w:rPr>
          <w:rFonts w:ascii="Palatino Linotype" w:hAnsi="Palatino Linotype" w:cs="Arial"/>
        </w:rPr>
        <w:t>cta de Sesión Ordinaria del Comité de Transparencia y Acceso a la Información Pública del Poder Judicial del Estado de México número 07/2018</w:t>
      </w:r>
      <w:r w:rsidR="00A70F6F" w:rsidRPr="00335C19">
        <w:rPr>
          <w:rFonts w:ascii="Palatino Linotype" w:hAnsi="Palatino Linotype" w:cs="Arial"/>
        </w:rPr>
        <w:t xml:space="preserve">, </w:t>
      </w:r>
      <w:r w:rsidR="00D677F6" w:rsidRPr="00335C19">
        <w:rPr>
          <w:rFonts w:ascii="Palatino Linotype" w:hAnsi="Palatino Linotype" w:cs="Arial"/>
        </w:rPr>
        <w:t>mencionando que ésta cumple con lo establecido por la Ley en la materia, toda vez que se encue</w:t>
      </w:r>
      <w:r w:rsidR="00A70F6F" w:rsidRPr="00335C19">
        <w:rPr>
          <w:rFonts w:ascii="Palatino Linotype" w:hAnsi="Palatino Linotype" w:cs="Arial"/>
        </w:rPr>
        <w:t>ntra señalada la prueba de daño</w:t>
      </w:r>
      <w:r w:rsidR="00D677F6" w:rsidRPr="00335C19">
        <w:rPr>
          <w:rFonts w:ascii="Palatino Linotype" w:hAnsi="Palatino Linotype" w:cs="Arial"/>
        </w:rPr>
        <w:t xml:space="preserve"> respecto de la clasificación de la información como reservada del expediente 612/2010, por lo que se acredita que el Sujeto Obligado siguió el procedimiento legal establecido para la clasificación de la información, al </w:t>
      </w:r>
      <w:r w:rsidR="00D677F6" w:rsidRPr="00335C19">
        <w:rPr>
          <w:rFonts w:ascii="Palatino Linotype" w:hAnsi="Palatino Linotype" w:cs="Arial"/>
        </w:rPr>
        <w:lastRenderedPageBreak/>
        <w:t>ser emitido</w:t>
      </w:r>
      <w:r w:rsidR="00A70F6F" w:rsidRPr="00335C19">
        <w:rPr>
          <w:rFonts w:ascii="Palatino Linotype" w:hAnsi="Palatino Linotype" w:cs="Arial"/>
        </w:rPr>
        <w:t xml:space="preserve"> por su Comité de Transparencia y </w:t>
      </w:r>
      <w:r w:rsidR="00D677F6" w:rsidRPr="00335C19">
        <w:rPr>
          <w:rFonts w:ascii="Palatino Linotype" w:eastAsia="Calibri" w:hAnsi="Palatino Linotype" w:cs="Arial"/>
        </w:rPr>
        <w:t>conforme a las formalidades previstas en los artículos 47, 49</w:t>
      </w:r>
      <w:r w:rsidR="00477FDA">
        <w:rPr>
          <w:rFonts w:ascii="Palatino Linotype" w:eastAsia="Calibri" w:hAnsi="Palatino Linotype" w:cs="Arial"/>
        </w:rPr>
        <w:t>,</w:t>
      </w:r>
      <w:r w:rsidR="00D677F6" w:rsidRPr="00335C19">
        <w:rPr>
          <w:rFonts w:ascii="Palatino Linotype" w:eastAsia="Calibri" w:hAnsi="Palatino Linotype" w:cs="Arial"/>
        </w:rPr>
        <w:t xml:space="preserve"> fracción VIII y 149 de la Ley de Transparencia </w:t>
      </w:r>
      <w:r w:rsidR="00BA0E4D" w:rsidRPr="00335C19">
        <w:rPr>
          <w:rFonts w:ascii="Palatino Linotype" w:eastAsia="Calibri" w:hAnsi="Palatino Linotype" w:cs="Arial"/>
        </w:rPr>
        <w:t xml:space="preserve">vigente </w:t>
      </w:r>
      <w:r w:rsidR="008C41DD" w:rsidRPr="00335C19">
        <w:rPr>
          <w:rFonts w:ascii="Palatino Linotype" w:eastAsia="Calibri" w:hAnsi="Palatino Linotype" w:cs="Arial"/>
        </w:rPr>
        <w:t xml:space="preserve">de </w:t>
      </w:r>
      <w:r w:rsidR="00BA0E4D" w:rsidRPr="00335C19">
        <w:rPr>
          <w:rFonts w:ascii="Palatino Linotype" w:eastAsia="Calibri" w:hAnsi="Palatino Linotype" w:cs="Arial"/>
        </w:rPr>
        <w:t xml:space="preserve">la </w:t>
      </w:r>
      <w:r w:rsidR="008C41DD" w:rsidRPr="00335C19">
        <w:rPr>
          <w:rFonts w:ascii="Palatino Linotype" w:eastAsia="Calibri" w:hAnsi="Palatino Linotype" w:cs="Arial"/>
        </w:rPr>
        <w:t>E</w:t>
      </w:r>
      <w:r w:rsidR="00BA0E4D" w:rsidRPr="00335C19">
        <w:rPr>
          <w:rFonts w:ascii="Palatino Linotype" w:eastAsia="Calibri" w:hAnsi="Palatino Linotype" w:cs="Arial"/>
        </w:rPr>
        <w:t>ntidad.</w:t>
      </w:r>
    </w:p>
    <w:p w:rsidR="00314438" w:rsidRPr="00335C19" w:rsidRDefault="00A85E6E" w:rsidP="00314438">
      <w:pPr>
        <w:spacing w:before="240" w:after="240" w:line="360" w:lineRule="auto"/>
        <w:jc w:val="both"/>
        <w:rPr>
          <w:rFonts w:ascii="Palatino Linotype" w:hAnsi="Palatino Linotype" w:cs="Arial"/>
          <w:color w:val="000000" w:themeColor="text1"/>
        </w:rPr>
      </w:pPr>
      <w:r w:rsidRPr="00335C19">
        <w:rPr>
          <w:rFonts w:ascii="Palatino Linotype" w:hAnsi="Palatino Linotype" w:cs="Arial"/>
          <w:lang w:val="es-ES_tradnl"/>
        </w:rPr>
        <w:t xml:space="preserve">Consecuentemente, </w:t>
      </w:r>
      <w:r w:rsidR="00314438" w:rsidRPr="00335C19">
        <w:rPr>
          <w:rFonts w:ascii="Palatino Linotype" w:hAnsi="Palatino Linotype" w:cs="Arial"/>
          <w:color w:val="000000" w:themeColor="text1"/>
        </w:rPr>
        <w:t>determinó confirmar la respuesta del Sujeto Obligado por resultar infundad</w:t>
      </w:r>
      <w:r w:rsidR="001A3B49" w:rsidRPr="00335C19">
        <w:rPr>
          <w:rFonts w:ascii="Palatino Linotype" w:hAnsi="Palatino Linotype" w:cs="Arial"/>
          <w:color w:val="000000" w:themeColor="text1"/>
        </w:rPr>
        <w:t xml:space="preserve">as las razones o </w:t>
      </w:r>
      <w:r w:rsidR="00314438" w:rsidRPr="00335C19">
        <w:rPr>
          <w:rFonts w:ascii="Palatino Linotype" w:hAnsi="Palatino Linotype" w:cs="Arial"/>
          <w:color w:val="000000" w:themeColor="text1"/>
        </w:rPr>
        <w:t xml:space="preserve">motivos de inconformidad hechos valer por </w:t>
      </w:r>
      <w:r w:rsidR="001A3B49" w:rsidRPr="00335C19">
        <w:rPr>
          <w:rFonts w:ascii="Palatino Linotype" w:hAnsi="Palatino Linotype" w:cs="Arial"/>
          <w:color w:val="000000" w:themeColor="text1"/>
        </w:rPr>
        <w:t xml:space="preserve">la </w:t>
      </w:r>
      <w:r w:rsidR="00314438" w:rsidRPr="00335C19">
        <w:rPr>
          <w:rFonts w:ascii="Palatino Linotype" w:hAnsi="Palatino Linotype" w:cs="Arial"/>
          <w:color w:val="000000" w:themeColor="text1"/>
        </w:rPr>
        <w:t>Recurrente</w:t>
      </w:r>
      <w:r w:rsidR="002813BC" w:rsidRPr="00335C19">
        <w:rPr>
          <w:rFonts w:ascii="Palatino Linotype" w:hAnsi="Palatino Linotype" w:cs="Arial"/>
          <w:color w:val="000000" w:themeColor="text1"/>
        </w:rPr>
        <w:t xml:space="preserve">; </w:t>
      </w:r>
      <w:r w:rsidR="00314438" w:rsidRPr="00335C19">
        <w:rPr>
          <w:rFonts w:ascii="Palatino Linotype" w:hAnsi="Palatino Linotype" w:cs="Arial"/>
          <w:color w:val="000000" w:themeColor="text1"/>
        </w:rPr>
        <w:t>orden</w:t>
      </w:r>
      <w:r w:rsidR="003A209F" w:rsidRPr="00335C19">
        <w:rPr>
          <w:rFonts w:ascii="Palatino Linotype" w:hAnsi="Palatino Linotype" w:cs="Arial"/>
          <w:color w:val="000000" w:themeColor="text1"/>
        </w:rPr>
        <w:t xml:space="preserve">ando </w:t>
      </w:r>
      <w:r w:rsidR="00314438" w:rsidRPr="00335C19">
        <w:rPr>
          <w:rFonts w:ascii="Palatino Linotype" w:hAnsi="Palatino Linotype" w:cs="Arial"/>
          <w:color w:val="000000" w:themeColor="text1"/>
        </w:rPr>
        <w:t>notificar a las partes la resolución emitida</w:t>
      </w:r>
      <w:r w:rsidR="002813BC" w:rsidRPr="00335C19">
        <w:rPr>
          <w:rFonts w:ascii="Palatino Linotype" w:hAnsi="Palatino Linotype" w:cs="Arial"/>
          <w:color w:val="000000" w:themeColor="text1"/>
        </w:rPr>
        <w:t xml:space="preserve">, </w:t>
      </w:r>
      <w:r w:rsidR="00314438" w:rsidRPr="00335C19">
        <w:rPr>
          <w:rFonts w:ascii="Palatino Linotype" w:hAnsi="Palatino Linotype" w:cs="Arial"/>
          <w:color w:val="000000" w:themeColor="text1"/>
        </w:rPr>
        <w:t xml:space="preserve">y en términos del </w:t>
      </w:r>
      <w:r w:rsidR="002813BC" w:rsidRPr="00335C19">
        <w:rPr>
          <w:rFonts w:ascii="Palatino Linotype" w:hAnsi="Palatino Linotype" w:cs="Arial"/>
          <w:color w:val="000000" w:themeColor="text1"/>
        </w:rPr>
        <w:t>resolutivo Tercero</w:t>
      </w:r>
      <w:r w:rsidR="00314438" w:rsidRPr="00335C19">
        <w:rPr>
          <w:rFonts w:ascii="Palatino Linotype" w:hAnsi="Palatino Linotype" w:cs="Arial"/>
          <w:color w:val="000000" w:themeColor="text1"/>
        </w:rPr>
        <w:t>, hizo del conocimiento a</w:t>
      </w:r>
      <w:r w:rsidR="002813BC" w:rsidRPr="00335C19">
        <w:rPr>
          <w:rFonts w:ascii="Palatino Linotype" w:hAnsi="Palatino Linotype" w:cs="Arial"/>
          <w:color w:val="000000" w:themeColor="text1"/>
        </w:rPr>
        <w:t xml:space="preserve"> </w:t>
      </w:r>
      <w:r w:rsidR="00314438" w:rsidRPr="00335C19">
        <w:rPr>
          <w:rFonts w:ascii="Palatino Linotype" w:hAnsi="Palatino Linotype" w:cs="Arial"/>
          <w:color w:val="000000" w:themeColor="text1"/>
        </w:rPr>
        <w:t>l</w:t>
      </w:r>
      <w:r w:rsidR="002813BC" w:rsidRPr="00335C19">
        <w:rPr>
          <w:rFonts w:ascii="Palatino Linotype" w:hAnsi="Palatino Linotype" w:cs="Arial"/>
          <w:color w:val="000000" w:themeColor="text1"/>
        </w:rPr>
        <w:t>a</w:t>
      </w:r>
      <w:r w:rsidR="00314438" w:rsidRPr="00335C19">
        <w:rPr>
          <w:rFonts w:ascii="Palatino Linotype" w:hAnsi="Palatino Linotype" w:cs="Arial"/>
          <w:color w:val="000000" w:themeColor="text1"/>
        </w:rPr>
        <w:t xml:space="preserve"> Recurrente que en caso de considerar que la resolución le cau</w:t>
      </w:r>
      <w:r w:rsidR="003A209F" w:rsidRPr="00335C19">
        <w:rPr>
          <w:rFonts w:ascii="Palatino Linotype" w:hAnsi="Palatino Linotype" w:cs="Arial"/>
          <w:color w:val="000000" w:themeColor="text1"/>
        </w:rPr>
        <w:t>sara a</w:t>
      </w:r>
      <w:r w:rsidR="00314438" w:rsidRPr="00335C19">
        <w:rPr>
          <w:rFonts w:ascii="Palatino Linotype" w:hAnsi="Palatino Linotype" w:cs="Arial"/>
          <w:color w:val="000000" w:themeColor="text1"/>
        </w:rPr>
        <w:t>lgún perjuicio, podr</w:t>
      </w:r>
      <w:r w:rsidR="003A209F" w:rsidRPr="00335C19">
        <w:rPr>
          <w:rFonts w:ascii="Palatino Linotype" w:hAnsi="Palatino Linotype" w:cs="Arial"/>
          <w:color w:val="000000" w:themeColor="text1"/>
        </w:rPr>
        <w:t>ía</w:t>
      </w:r>
      <w:r w:rsidR="00314438" w:rsidRPr="00335C19">
        <w:rPr>
          <w:rFonts w:ascii="Palatino Linotype" w:hAnsi="Palatino Linotype" w:cs="Arial"/>
          <w:color w:val="000000" w:themeColor="text1"/>
        </w:rPr>
        <w:t xml:space="preserve"> promover el Juicio de Amparo en los términos de las leyes aplicables, de acuerdo a lo estipulado por el artículo 196 de la Ley de Transparencia y Acceso a la Información Pública del Estado de México y Municipios.</w:t>
      </w:r>
    </w:p>
    <w:p w:rsidR="00AD24B7" w:rsidRPr="00335C19" w:rsidRDefault="00AD24B7" w:rsidP="00314438">
      <w:pPr>
        <w:spacing w:before="240" w:after="240" w:line="360" w:lineRule="auto"/>
        <w:jc w:val="both"/>
        <w:rPr>
          <w:rFonts w:ascii="Palatino Linotype" w:eastAsia="Times New Roman" w:hAnsi="Palatino Linotype" w:cs="Arial"/>
          <w:lang w:val="es-ES" w:eastAsia="es-ES"/>
        </w:rPr>
      </w:pPr>
      <w:r w:rsidRPr="00335C19">
        <w:rPr>
          <w:rFonts w:ascii="Palatino Linotype" w:hAnsi="Palatino Linotype" w:cs="Arial"/>
        </w:rPr>
        <w:t xml:space="preserve">Al respecto, </w:t>
      </w:r>
      <w:r w:rsidR="009F2FF9" w:rsidRPr="00335C19">
        <w:rPr>
          <w:rFonts w:ascii="Palatino Linotype" w:hAnsi="Palatino Linotype" w:cs="Arial"/>
        </w:rPr>
        <w:t xml:space="preserve">los </w:t>
      </w:r>
      <w:r w:rsidRPr="00335C19">
        <w:rPr>
          <w:rFonts w:ascii="Palatino Linotype" w:hAnsi="Palatino Linotype" w:cs="Arial"/>
        </w:rPr>
        <w:t>suscrito</w:t>
      </w:r>
      <w:r w:rsidR="009F2FF9" w:rsidRPr="00335C19">
        <w:rPr>
          <w:rFonts w:ascii="Palatino Linotype" w:hAnsi="Palatino Linotype" w:cs="Arial"/>
        </w:rPr>
        <w:t>s</w:t>
      </w:r>
      <w:r w:rsidRPr="00335C19">
        <w:rPr>
          <w:rFonts w:ascii="Palatino Linotype" w:hAnsi="Palatino Linotype" w:cs="Arial"/>
        </w:rPr>
        <w:t xml:space="preserve"> considera</w:t>
      </w:r>
      <w:r w:rsidR="009F2FF9" w:rsidRPr="00335C19">
        <w:rPr>
          <w:rFonts w:ascii="Palatino Linotype" w:hAnsi="Palatino Linotype" w:cs="Arial"/>
        </w:rPr>
        <w:t xml:space="preserve">mos </w:t>
      </w:r>
      <w:r w:rsidRPr="00335C19">
        <w:rPr>
          <w:rFonts w:ascii="Palatino Linotype" w:hAnsi="Palatino Linotype" w:cs="Arial"/>
        </w:rPr>
        <w:t xml:space="preserve">pertinente referir que a </w:t>
      </w:r>
      <w:r w:rsidRPr="00335C19">
        <w:rPr>
          <w:rFonts w:ascii="Palatino Linotype" w:eastAsia="Times New Roman" w:hAnsi="Palatino Linotype" w:cs="Arial"/>
          <w:lang w:val="es-ES" w:eastAsia="es-ES"/>
        </w:rPr>
        <w:t>partir de la interpretación</w:t>
      </w:r>
      <w:r w:rsidRPr="00335C19">
        <w:rPr>
          <w:rFonts w:ascii="Palatino Linotype" w:eastAsia="Times New Roman" w:hAnsi="Palatino Linotype" w:cs="Arial"/>
          <w:vertAlign w:val="superscript"/>
          <w:lang w:val="es-ES" w:eastAsia="es-ES"/>
        </w:rPr>
        <w:footnoteReference w:id="1"/>
      </w:r>
      <w:r w:rsidRPr="00335C19">
        <w:rPr>
          <w:rFonts w:ascii="Palatino Linotype" w:eastAsia="Times New Roman" w:hAnsi="Palatino Linotype" w:cs="Arial"/>
          <w:lang w:val="es-ES" w:eastAsia="es-ES"/>
        </w:rPr>
        <w:t xml:space="preserve"> a los artículos 159 y 160 de la Ley General de Transparencia y Acceso a la Información Pública que</w:t>
      </w:r>
      <w:r w:rsidR="009F2FF9" w:rsidRPr="00335C19">
        <w:rPr>
          <w:rFonts w:ascii="Palatino Linotype" w:eastAsia="Times New Roman" w:hAnsi="Palatino Linotype" w:cs="Arial"/>
          <w:lang w:val="es-ES" w:eastAsia="es-ES"/>
        </w:rPr>
        <w:t xml:space="preserve"> a la letra ordenan: </w:t>
      </w:r>
    </w:p>
    <w:p w:rsidR="00AD24B7" w:rsidRPr="00335C19" w:rsidRDefault="00AD24B7" w:rsidP="00AD24B7">
      <w:pPr>
        <w:spacing w:after="0" w:line="240" w:lineRule="auto"/>
        <w:ind w:left="851" w:right="990"/>
        <w:jc w:val="both"/>
        <w:rPr>
          <w:rFonts w:ascii="Palatino Linotype" w:eastAsia="Times New Roman" w:hAnsi="Palatino Linotype" w:cs="Arial"/>
          <w:i/>
          <w:lang w:val="es-ES" w:eastAsia="es-ES"/>
        </w:rPr>
      </w:pPr>
      <w:r w:rsidRPr="00335C19">
        <w:rPr>
          <w:rFonts w:ascii="Palatino Linotype" w:eastAsia="Times New Roman" w:hAnsi="Palatino Linotype" w:cs="Arial"/>
          <w:b/>
          <w:i/>
          <w:lang w:val="es-ES" w:eastAsia="es-ES"/>
        </w:rPr>
        <w:lastRenderedPageBreak/>
        <w:t xml:space="preserve">“Artículo 159. </w:t>
      </w:r>
      <w:r w:rsidRPr="00335C19">
        <w:rPr>
          <w:rFonts w:ascii="Palatino Linotype" w:eastAsia="Times New Roman" w:hAnsi="Palatino Linotype" w:cs="Arial"/>
          <w:i/>
          <w:lang w:val="es-ES" w:eastAsia="es-ES"/>
        </w:rPr>
        <w:t>Tratándose de las resoluciones a los recursos de revisión de los Organismos garantes de las Entidades Federativas, los particulares podrán optar por acudir ante el Instituto o ante el Poder Judicial de la Federación.”</w:t>
      </w:r>
    </w:p>
    <w:p w:rsidR="00AD24B7" w:rsidRPr="00335C19" w:rsidRDefault="00AD24B7" w:rsidP="00AD24B7">
      <w:pPr>
        <w:spacing w:after="0" w:line="240" w:lineRule="auto"/>
        <w:ind w:left="851" w:right="990"/>
        <w:jc w:val="both"/>
        <w:rPr>
          <w:rFonts w:ascii="Palatino Linotype" w:eastAsia="Times New Roman" w:hAnsi="Palatino Linotype" w:cs="Arial"/>
          <w:i/>
          <w:lang w:val="es-ES" w:eastAsia="es-ES"/>
        </w:rPr>
      </w:pPr>
    </w:p>
    <w:p w:rsidR="00AD24B7" w:rsidRPr="00335C19" w:rsidRDefault="00AD24B7" w:rsidP="00AD24B7">
      <w:pPr>
        <w:spacing w:after="0" w:line="240" w:lineRule="auto"/>
        <w:ind w:left="851" w:right="990"/>
        <w:jc w:val="both"/>
        <w:rPr>
          <w:rFonts w:ascii="Palatino Linotype" w:eastAsia="Times New Roman" w:hAnsi="Palatino Linotype" w:cs="Arial"/>
          <w:i/>
          <w:lang w:val="es-ES" w:eastAsia="es-ES"/>
        </w:rPr>
      </w:pPr>
      <w:r w:rsidRPr="00335C19">
        <w:rPr>
          <w:rFonts w:ascii="Palatino Linotype" w:eastAsia="Times New Roman" w:hAnsi="Palatino Linotype" w:cs="Arial"/>
          <w:b/>
          <w:i/>
          <w:lang w:val="es-ES" w:eastAsia="es-ES"/>
        </w:rPr>
        <w:t>“Artículo 160.</w:t>
      </w:r>
      <w:r w:rsidRPr="00335C19">
        <w:rPr>
          <w:rFonts w:ascii="Palatino Linotype" w:eastAsia="Times New Roman" w:hAnsi="Palatino Linotype" w:cs="Arial"/>
          <w:i/>
          <w:lang w:val="es-ES" w:eastAsia="es-ES"/>
        </w:rPr>
        <w:t xml:space="preserve"> El recurso de inconformidad procede contra las resoluciones emitidas por los Organismos garantes de las Entidades Federativas que:</w:t>
      </w:r>
    </w:p>
    <w:p w:rsidR="00AD24B7" w:rsidRPr="00335C19" w:rsidRDefault="00AD24B7" w:rsidP="00AD24B7">
      <w:pPr>
        <w:spacing w:after="0" w:line="240" w:lineRule="auto"/>
        <w:ind w:left="851" w:right="990"/>
        <w:jc w:val="both"/>
        <w:rPr>
          <w:rFonts w:ascii="Palatino Linotype" w:eastAsia="Times New Roman" w:hAnsi="Palatino Linotype" w:cs="Arial"/>
          <w:i/>
          <w:lang w:val="es-ES" w:eastAsia="es-ES"/>
        </w:rPr>
      </w:pPr>
    </w:p>
    <w:p w:rsidR="00AD24B7" w:rsidRPr="00335C19" w:rsidRDefault="00AD24B7" w:rsidP="00AD24B7">
      <w:pPr>
        <w:spacing w:after="0" w:line="240" w:lineRule="auto"/>
        <w:ind w:left="851" w:right="990"/>
        <w:jc w:val="both"/>
        <w:rPr>
          <w:rFonts w:ascii="Palatino Linotype" w:eastAsia="Times New Roman" w:hAnsi="Palatino Linotype" w:cs="Arial"/>
          <w:i/>
          <w:lang w:val="es-ES" w:eastAsia="es-ES"/>
        </w:rPr>
      </w:pPr>
      <w:r w:rsidRPr="00335C19">
        <w:rPr>
          <w:rFonts w:ascii="Palatino Linotype" w:eastAsia="Times New Roman" w:hAnsi="Palatino Linotype" w:cs="Arial"/>
          <w:i/>
          <w:lang w:val="es-ES" w:eastAsia="es-ES"/>
        </w:rPr>
        <w:t xml:space="preserve">I. Confirmen o modifiquen la clasificación de la información, </w:t>
      </w:r>
    </w:p>
    <w:p w:rsidR="00AD24B7" w:rsidRPr="00335C19" w:rsidRDefault="00AD24B7" w:rsidP="00AD24B7">
      <w:pPr>
        <w:spacing w:after="0" w:line="240" w:lineRule="auto"/>
        <w:ind w:left="851" w:right="990"/>
        <w:jc w:val="both"/>
        <w:rPr>
          <w:rFonts w:ascii="Palatino Linotype" w:eastAsia="Times New Roman" w:hAnsi="Palatino Linotype" w:cs="Arial"/>
          <w:i/>
          <w:lang w:val="es-ES" w:eastAsia="es-ES"/>
        </w:rPr>
      </w:pPr>
    </w:p>
    <w:p w:rsidR="00AD24B7" w:rsidRPr="00335C19" w:rsidRDefault="00AD24B7" w:rsidP="00AD24B7">
      <w:pPr>
        <w:spacing w:after="0" w:line="240" w:lineRule="auto"/>
        <w:ind w:left="851" w:right="990"/>
        <w:jc w:val="both"/>
        <w:rPr>
          <w:rFonts w:ascii="Palatino Linotype" w:eastAsia="Times New Roman" w:hAnsi="Palatino Linotype" w:cs="Arial"/>
          <w:i/>
          <w:lang w:val="es-ES" w:eastAsia="es-ES"/>
        </w:rPr>
      </w:pPr>
      <w:r w:rsidRPr="00335C19">
        <w:rPr>
          <w:rFonts w:ascii="Palatino Linotype" w:eastAsia="Times New Roman" w:hAnsi="Palatino Linotype" w:cs="Arial"/>
          <w:i/>
          <w:lang w:val="es-ES" w:eastAsia="es-ES"/>
        </w:rPr>
        <w:t>…”</w:t>
      </w:r>
    </w:p>
    <w:p w:rsidR="00AD24B7" w:rsidRPr="00335C19" w:rsidRDefault="009F2FF9" w:rsidP="00AD24B7">
      <w:pPr>
        <w:spacing w:before="240" w:after="240" w:line="360" w:lineRule="auto"/>
        <w:jc w:val="both"/>
        <w:rPr>
          <w:rFonts w:ascii="Palatino Linotype" w:eastAsia="Times New Roman" w:hAnsi="Palatino Linotype" w:cs="Times New Roman"/>
          <w:lang w:val="es-ES" w:eastAsia="es-ES"/>
        </w:rPr>
      </w:pPr>
      <w:r w:rsidRPr="00335C19">
        <w:rPr>
          <w:rFonts w:ascii="Palatino Linotype" w:eastAsia="Times New Roman" w:hAnsi="Palatino Linotype" w:cs="Arial"/>
          <w:lang w:val="es-ES" w:eastAsia="es-ES"/>
        </w:rPr>
        <w:t>La P</w:t>
      </w:r>
      <w:r w:rsidR="00AD24B7" w:rsidRPr="00335C19">
        <w:rPr>
          <w:rFonts w:ascii="Palatino Linotype" w:eastAsia="Times New Roman" w:hAnsi="Palatino Linotype" w:cs="Arial"/>
          <w:lang w:val="es-ES" w:eastAsia="es-ES"/>
        </w:rPr>
        <w:t xml:space="preserve">onencia resolutora debió </w:t>
      </w:r>
      <w:r w:rsidR="00AD24B7" w:rsidRPr="00335C19">
        <w:rPr>
          <w:rFonts w:ascii="Palatino Linotype" w:eastAsia="Times New Roman" w:hAnsi="Palatino Linotype" w:cs="Times New Roman"/>
          <w:lang w:val="es-ES" w:eastAsia="es-ES"/>
        </w:rPr>
        <w:t>notificar a</w:t>
      </w:r>
      <w:r w:rsidRPr="00335C19">
        <w:rPr>
          <w:rFonts w:ascii="Palatino Linotype" w:eastAsia="Times New Roman" w:hAnsi="Palatino Linotype" w:cs="Times New Roman"/>
          <w:lang w:val="es-ES" w:eastAsia="es-ES"/>
        </w:rPr>
        <w:t xml:space="preserve"> </w:t>
      </w:r>
      <w:r w:rsidR="00AD24B7" w:rsidRPr="00335C19">
        <w:rPr>
          <w:rFonts w:ascii="Palatino Linotype" w:eastAsia="Times New Roman" w:hAnsi="Palatino Linotype" w:cs="Times New Roman"/>
          <w:lang w:val="es-ES" w:eastAsia="es-ES"/>
        </w:rPr>
        <w:t>l</w:t>
      </w:r>
      <w:r w:rsidRPr="00335C19">
        <w:rPr>
          <w:rFonts w:ascii="Palatino Linotype" w:eastAsia="Times New Roman" w:hAnsi="Palatino Linotype" w:cs="Times New Roman"/>
          <w:lang w:val="es-ES" w:eastAsia="es-ES"/>
        </w:rPr>
        <w:t>a</w:t>
      </w:r>
      <w:r w:rsidR="00AD24B7" w:rsidRPr="00335C19">
        <w:rPr>
          <w:rFonts w:ascii="Palatino Linotype" w:eastAsia="Times New Roman" w:hAnsi="Palatino Linotype" w:cs="Times New Roman"/>
          <w:lang w:val="es-ES" w:eastAsia="es-ES"/>
        </w:rPr>
        <w:t xml:space="preserve"> particular</w:t>
      </w:r>
      <w:r w:rsidRPr="00335C19">
        <w:rPr>
          <w:rFonts w:ascii="Palatino Linotype" w:eastAsia="Times New Roman" w:hAnsi="Palatino Linotype" w:cs="Times New Roman"/>
          <w:lang w:val="es-ES" w:eastAsia="es-ES"/>
        </w:rPr>
        <w:t>,</w:t>
      </w:r>
      <w:r w:rsidR="00AD24B7" w:rsidRPr="00335C19">
        <w:rPr>
          <w:rFonts w:ascii="Palatino Linotype" w:eastAsia="Times New Roman" w:hAnsi="Palatino Linotype" w:cs="Times New Roman"/>
          <w:lang w:val="es-ES" w:eastAsia="es-ES"/>
        </w:rPr>
        <w:t xml:space="preserve"> que podía acudir ante el Instituto Nacional de Transparencia, Acceso a la Información y Protección de Datos Personales (INAI) o ante el Poder Judicial de la Federación para interponer recurso de inconformidad, </w:t>
      </w:r>
      <w:r w:rsidR="00AD24B7" w:rsidRPr="00335C19">
        <w:rPr>
          <w:rFonts w:ascii="Palatino Linotype" w:eastAsia="Times New Roman" w:hAnsi="Palatino Linotype" w:cs="Arial"/>
          <w:lang w:val="es-ES" w:eastAsia="es-ES"/>
        </w:rPr>
        <w:t xml:space="preserve">favoreciendo con ello lo previsto en el artículo </w:t>
      </w:r>
      <w:r w:rsidRPr="00335C19">
        <w:rPr>
          <w:rFonts w:ascii="Palatino Linotype" w:eastAsia="Times New Roman" w:hAnsi="Palatino Linotype" w:cs="Arial"/>
          <w:lang w:val="es-ES" w:eastAsia="es-ES"/>
        </w:rPr>
        <w:t>“</w:t>
      </w:r>
      <w:r w:rsidR="00AD24B7" w:rsidRPr="00335C19">
        <w:rPr>
          <w:rFonts w:ascii="Palatino Linotype" w:eastAsia="Times New Roman" w:hAnsi="Palatino Linotype" w:cs="Arial"/>
          <w:lang w:val="es-ES" w:eastAsia="es-ES"/>
        </w:rPr>
        <w:t>1</w:t>
      </w:r>
      <w:r w:rsidRPr="00335C19">
        <w:rPr>
          <w:rFonts w:ascii="Palatino Linotype" w:eastAsia="Times New Roman" w:hAnsi="Palatino Linotype" w:cs="Arial"/>
          <w:lang w:val="es-ES" w:eastAsia="es-ES"/>
        </w:rPr>
        <w:t>”</w:t>
      </w:r>
      <w:r w:rsidR="00AD24B7" w:rsidRPr="00335C19">
        <w:rPr>
          <w:rFonts w:ascii="Palatino Linotype" w:eastAsia="Times New Roman" w:hAnsi="Palatino Linotype" w:cs="Arial"/>
          <w:vertAlign w:val="superscript"/>
          <w:lang w:val="es-ES" w:eastAsia="es-ES"/>
        </w:rPr>
        <w:footnoteReference w:id="2"/>
      </w:r>
      <w:r w:rsidR="00AD24B7" w:rsidRPr="00335C19">
        <w:rPr>
          <w:rFonts w:ascii="Palatino Linotype" w:eastAsia="Times New Roman" w:hAnsi="Palatino Linotype" w:cs="Arial"/>
          <w:lang w:val="es-ES" w:eastAsia="es-ES"/>
        </w:rPr>
        <w:t xml:space="preserve"> de la Constitución Política de los Estados Unidos Mexicanos.</w:t>
      </w:r>
    </w:p>
    <w:p w:rsidR="00AD24B7" w:rsidRPr="00335C19" w:rsidRDefault="00AD24B7" w:rsidP="00AD24B7">
      <w:pPr>
        <w:spacing w:before="240" w:after="240" w:line="360" w:lineRule="auto"/>
        <w:jc w:val="both"/>
        <w:rPr>
          <w:rFonts w:ascii="Palatino Linotype" w:eastAsia="Times New Roman" w:hAnsi="Palatino Linotype" w:cs="Times New Roman"/>
          <w:lang w:val="es-ES" w:eastAsia="es-ES"/>
        </w:rPr>
      </w:pPr>
      <w:r w:rsidRPr="00335C19">
        <w:rPr>
          <w:rFonts w:ascii="Palatino Linotype" w:eastAsia="Times New Roman" w:hAnsi="Palatino Linotype" w:cs="Times New Roman"/>
          <w:lang w:val="es-ES" w:eastAsia="es-ES"/>
        </w:rPr>
        <w:lastRenderedPageBreak/>
        <w:t>En este sentido y para abundar en el tema</w:t>
      </w:r>
      <w:r w:rsidR="00C05880" w:rsidRPr="00335C19">
        <w:rPr>
          <w:rFonts w:ascii="Palatino Linotype" w:eastAsia="Times New Roman" w:hAnsi="Palatino Linotype" w:cs="Times New Roman"/>
          <w:lang w:val="es-ES" w:eastAsia="es-ES"/>
        </w:rPr>
        <w:t>,</w:t>
      </w:r>
      <w:r w:rsidRPr="00335C19">
        <w:rPr>
          <w:rFonts w:ascii="Palatino Linotype" w:eastAsia="Times New Roman" w:hAnsi="Palatino Linotype" w:cs="Times New Roman"/>
          <w:lang w:val="es-ES" w:eastAsia="es-ES"/>
        </w:rPr>
        <w:t xml:space="preserve"> conviene precisar que los particulares podrán interponer recurso de inconformidad ante el INAI o ante el Poder Judicial de la Federación dentro de los quince días posteriores </w:t>
      </w:r>
      <w:r w:rsidR="006A2894" w:rsidRPr="00335C19">
        <w:rPr>
          <w:rFonts w:ascii="Palatino Linotype" w:eastAsia="Times New Roman" w:hAnsi="Palatino Linotype" w:cs="Times New Roman"/>
          <w:lang w:val="es-ES" w:eastAsia="es-ES"/>
        </w:rPr>
        <w:t xml:space="preserve">en </w:t>
      </w:r>
      <w:r w:rsidRPr="00335C19">
        <w:rPr>
          <w:rFonts w:ascii="Palatino Linotype" w:eastAsia="Times New Roman" w:hAnsi="Palatino Linotype" w:cs="Times New Roman"/>
          <w:lang w:val="es-ES" w:eastAsia="es-ES"/>
        </w:rPr>
        <w:t>que se tuvo conocimiento de la resolución</w:t>
      </w:r>
      <w:r w:rsidR="00CF0BAC" w:rsidRPr="00335C19">
        <w:rPr>
          <w:rFonts w:ascii="Palatino Linotype" w:eastAsia="Times New Roman" w:hAnsi="Palatino Linotype" w:cs="Times New Roman"/>
          <w:lang w:val="es-ES" w:eastAsia="es-ES"/>
        </w:rPr>
        <w:t>.</w:t>
      </w:r>
    </w:p>
    <w:p w:rsidR="00AD24B7" w:rsidRPr="00335C19" w:rsidRDefault="00AD24B7" w:rsidP="00AD24B7">
      <w:pPr>
        <w:spacing w:before="240" w:after="240" w:line="360" w:lineRule="auto"/>
        <w:jc w:val="both"/>
        <w:rPr>
          <w:rFonts w:ascii="Palatino Linotype" w:eastAsia="Times New Roman" w:hAnsi="Palatino Linotype" w:cs="Times New Roman"/>
          <w:lang w:val="es-ES" w:eastAsia="es-ES"/>
        </w:rPr>
      </w:pPr>
      <w:r w:rsidRPr="00335C19">
        <w:rPr>
          <w:rFonts w:ascii="Palatino Linotype" w:eastAsia="Times New Roman" w:hAnsi="Palatino Linotype" w:cs="Times New Roman"/>
          <w:lang w:val="es-ES" w:eastAsia="es-ES"/>
        </w:rPr>
        <w:t xml:space="preserve">Cabe considerar, que también se podrá presentar por escrito ante este Instituto, instancia que a su vez tiene la obligación de remitirlo al día siguiente de su recepción al </w:t>
      </w:r>
      <w:r w:rsidR="00CF0BAC" w:rsidRPr="00335C19">
        <w:rPr>
          <w:rFonts w:ascii="Palatino Linotype" w:eastAsia="Times New Roman" w:hAnsi="Palatino Linotype" w:cs="Times New Roman"/>
          <w:lang w:val="es-ES" w:eastAsia="es-ES"/>
        </w:rPr>
        <w:t>INAI</w:t>
      </w:r>
      <w:r w:rsidRPr="00335C19">
        <w:rPr>
          <w:rFonts w:ascii="Palatino Linotype" w:eastAsia="Times New Roman" w:hAnsi="Palatino Linotype" w:cs="Times New Roman"/>
          <w:lang w:val="es-ES" w:eastAsia="es-ES"/>
        </w:rPr>
        <w:t>, acompañado de la resolución impugnada.</w:t>
      </w:r>
    </w:p>
    <w:p w:rsidR="00AD24B7" w:rsidRPr="00335C19" w:rsidRDefault="00714A12" w:rsidP="00AD24B7">
      <w:pPr>
        <w:spacing w:before="240" w:after="120" w:line="360" w:lineRule="auto"/>
        <w:jc w:val="both"/>
        <w:rPr>
          <w:rFonts w:ascii="Palatino Linotype" w:eastAsia="Times New Roman" w:hAnsi="Palatino Linotype" w:cs="Times New Roman"/>
          <w:lang w:val="es-ES" w:eastAsia="es-ES"/>
        </w:rPr>
      </w:pPr>
      <w:r w:rsidRPr="00335C19">
        <w:rPr>
          <w:rFonts w:ascii="Palatino Linotype" w:eastAsia="Times New Roman" w:hAnsi="Palatino Linotype" w:cs="Times New Roman"/>
          <w:lang w:val="es-ES" w:eastAsia="es-ES"/>
        </w:rPr>
        <w:t>Recurso de inconformidad</w:t>
      </w:r>
      <w:r w:rsidR="00AD24B7" w:rsidRPr="00335C19">
        <w:rPr>
          <w:rFonts w:ascii="Palatino Linotype" w:eastAsia="Times New Roman" w:hAnsi="Palatino Linotype" w:cs="Times New Roman"/>
          <w:lang w:val="es-ES" w:eastAsia="es-ES"/>
        </w:rPr>
        <w:t xml:space="preserve"> que deberá contener lo dispuesto en el artículo 162 de la Ley General de referencia, que </w:t>
      </w:r>
      <w:r w:rsidRPr="00335C19">
        <w:rPr>
          <w:rFonts w:ascii="Palatino Linotype" w:eastAsia="Times New Roman" w:hAnsi="Palatino Linotype" w:cs="Times New Roman"/>
          <w:lang w:val="es-ES" w:eastAsia="es-ES"/>
        </w:rPr>
        <w:t xml:space="preserve">dispone: </w:t>
      </w:r>
    </w:p>
    <w:p w:rsidR="00AD24B7" w:rsidRPr="00335C19"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335C19">
        <w:rPr>
          <w:rFonts w:ascii="Palatino Linotype" w:eastAsia="Times New Roman" w:hAnsi="Palatino Linotype" w:cs="Times New Roman"/>
          <w:i/>
          <w:lang w:val="es-ES" w:eastAsia="es-ES"/>
        </w:rPr>
        <w:t>“</w:t>
      </w:r>
      <w:r w:rsidRPr="00335C19">
        <w:rPr>
          <w:rFonts w:ascii="Palatino Linotype" w:eastAsia="Times New Roman" w:hAnsi="Palatino Linotype" w:cs="Times New Roman"/>
          <w:b/>
          <w:i/>
          <w:lang w:val="es-ES" w:eastAsia="es-ES"/>
        </w:rPr>
        <w:t>Artículo 162.</w:t>
      </w:r>
      <w:r w:rsidRPr="00335C19">
        <w:rPr>
          <w:rFonts w:ascii="Palatino Linotype" w:eastAsia="Times New Roman" w:hAnsi="Palatino Linotype" w:cs="Times New Roman"/>
          <w:i/>
          <w:lang w:val="es-ES" w:eastAsia="es-ES"/>
        </w:rPr>
        <w:t xml:space="preserve"> El recurso de inconformidad deberá contener:  </w:t>
      </w:r>
    </w:p>
    <w:p w:rsidR="00AD24B7" w:rsidRPr="00335C19"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335C19">
        <w:rPr>
          <w:rFonts w:ascii="Palatino Linotype" w:eastAsia="Times New Roman" w:hAnsi="Palatino Linotype" w:cs="Times New Roman"/>
          <w:i/>
          <w:lang w:val="es-ES" w:eastAsia="es-ES"/>
        </w:rPr>
        <w:t xml:space="preserve">I. El sujeto obligado ante el cual se presentó la solicitud;  </w:t>
      </w:r>
    </w:p>
    <w:p w:rsidR="00AD24B7" w:rsidRPr="00335C19"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335C19">
        <w:rPr>
          <w:rFonts w:ascii="Palatino Linotype" w:eastAsia="Times New Roman" w:hAnsi="Palatino Linotype" w:cs="Times New Roman"/>
          <w:i/>
          <w:lang w:val="es-ES" w:eastAsia="es-ES"/>
        </w:rPr>
        <w:t xml:space="preserve">II. El número de la resolución del recurso de revisión de la resolución impugnada;  </w:t>
      </w:r>
    </w:p>
    <w:p w:rsidR="00AD24B7" w:rsidRPr="00335C19"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335C19">
        <w:rPr>
          <w:rFonts w:ascii="Palatino Linotype" w:eastAsia="Times New Roman" w:hAnsi="Palatino Linotype" w:cs="Times New Roman"/>
          <w:i/>
          <w:lang w:val="es-ES" w:eastAsia="es-ES"/>
        </w:rPr>
        <w:t xml:space="preserve">III. El organismo garante que emitió la resolución que se impugna;  </w:t>
      </w:r>
    </w:p>
    <w:p w:rsidR="00AD24B7" w:rsidRPr="00335C19"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335C19">
        <w:rPr>
          <w:rFonts w:ascii="Palatino Linotype" w:eastAsia="Times New Roman" w:hAnsi="Palatino Linotype" w:cs="Times New Roman"/>
          <w:i/>
          <w:lang w:val="es-ES" w:eastAsia="es-ES"/>
        </w:rPr>
        <w:t xml:space="preserve">IV. El nombre del inconforme y, en su caso, del tercero interesado, así como las correspondientes direcciones o medios para recibir notificaciones;  </w:t>
      </w:r>
    </w:p>
    <w:p w:rsidR="00AD24B7" w:rsidRPr="00335C19"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335C19">
        <w:rPr>
          <w:rFonts w:ascii="Palatino Linotype" w:eastAsia="Times New Roman" w:hAnsi="Palatino Linotype" w:cs="Times New Roman"/>
          <w:i/>
          <w:lang w:val="es-ES" w:eastAsia="es-ES"/>
        </w:rPr>
        <w:t xml:space="preserve">V. La fecha en que fue notificada la resolución impugnada;  </w:t>
      </w:r>
    </w:p>
    <w:p w:rsidR="00AD24B7" w:rsidRPr="00335C19"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335C19">
        <w:rPr>
          <w:rFonts w:ascii="Palatino Linotype" w:eastAsia="Times New Roman" w:hAnsi="Palatino Linotype" w:cs="Times New Roman"/>
          <w:i/>
          <w:lang w:val="es-ES" w:eastAsia="es-ES"/>
        </w:rPr>
        <w:t xml:space="preserve">VI. El acto que se recurre;  </w:t>
      </w:r>
    </w:p>
    <w:p w:rsidR="00AD24B7" w:rsidRPr="00335C19"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335C19">
        <w:rPr>
          <w:rFonts w:ascii="Palatino Linotype" w:eastAsia="Times New Roman" w:hAnsi="Palatino Linotype" w:cs="Times New Roman"/>
          <w:i/>
          <w:lang w:val="es-ES" w:eastAsia="es-ES"/>
        </w:rPr>
        <w:t xml:space="preserve">VII. Las razones o motivos de la inconformidad, y  </w:t>
      </w:r>
    </w:p>
    <w:p w:rsidR="00AD24B7" w:rsidRPr="00335C19"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335C19">
        <w:rPr>
          <w:rFonts w:ascii="Palatino Linotype" w:eastAsia="Times New Roman" w:hAnsi="Palatino Linotype" w:cs="Times New Roman"/>
          <w:i/>
          <w:lang w:val="es-ES" w:eastAsia="es-ES"/>
        </w:rPr>
        <w:t xml:space="preserve">VIII. La copia de la resolución que se impugna y, en su caso, de la notificación correspondiente.  </w:t>
      </w:r>
    </w:p>
    <w:p w:rsidR="00AD24B7" w:rsidRPr="00335C19" w:rsidRDefault="00AD24B7" w:rsidP="007B48DE">
      <w:pPr>
        <w:tabs>
          <w:tab w:val="left" w:pos="7797"/>
        </w:tabs>
        <w:spacing w:after="0" w:line="240" w:lineRule="auto"/>
        <w:ind w:left="851" w:right="992"/>
        <w:jc w:val="both"/>
        <w:rPr>
          <w:rFonts w:ascii="Palatino Linotype" w:eastAsia="Times New Roman" w:hAnsi="Palatino Linotype" w:cs="Times New Roman"/>
          <w:i/>
          <w:lang w:val="es-ES" w:eastAsia="es-ES"/>
        </w:rPr>
      </w:pPr>
      <w:r w:rsidRPr="00335C19">
        <w:rPr>
          <w:rFonts w:ascii="Palatino Linotype" w:eastAsia="Times New Roman" w:hAnsi="Palatino Linotype" w:cs="Times New Roman"/>
          <w:i/>
          <w:lang w:val="es-ES" w:eastAsia="es-ES"/>
        </w:rPr>
        <w:t>El recurrente podrá anexar las pruebas y demás elementos que considere procedentes someter a consideración del organismo garante.”</w:t>
      </w:r>
    </w:p>
    <w:p w:rsidR="00AD24B7" w:rsidRPr="00335C19" w:rsidRDefault="00AD24B7" w:rsidP="00AD24B7">
      <w:pPr>
        <w:spacing w:after="0" w:line="276" w:lineRule="auto"/>
        <w:jc w:val="both"/>
        <w:rPr>
          <w:rFonts w:ascii="Palatino Linotype" w:eastAsia="Times New Roman" w:hAnsi="Palatino Linotype" w:cs="Times New Roman"/>
          <w:lang w:val="es-ES" w:eastAsia="es-ES"/>
        </w:rPr>
      </w:pPr>
    </w:p>
    <w:p w:rsidR="00AD24B7" w:rsidRPr="00335C19" w:rsidRDefault="00C57674" w:rsidP="00AD24B7">
      <w:pPr>
        <w:spacing w:before="120" w:after="240" w:line="360" w:lineRule="auto"/>
        <w:jc w:val="both"/>
        <w:rPr>
          <w:rFonts w:ascii="Palatino Linotype" w:eastAsia="Times New Roman" w:hAnsi="Palatino Linotype" w:cs="Times New Roman"/>
          <w:lang w:val="es-ES" w:eastAsia="es-ES"/>
        </w:rPr>
      </w:pPr>
      <w:r w:rsidRPr="00335C19">
        <w:rPr>
          <w:rFonts w:ascii="Palatino Linotype" w:eastAsia="Times New Roman" w:hAnsi="Palatino Linotype" w:cs="Times New Roman"/>
          <w:lang w:val="es-ES" w:eastAsia="es-ES"/>
        </w:rPr>
        <w:t xml:space="preserve">En ese tenor, se colige </w:t>
      </w:r>
      <w:r w:rsidR="00AD24B7" w:rsidRPr="00335C19">
        <w:rPr>
          <w:rFonts w:ascii="Palatino Linotype" w:eastAsia="Times New Roman" w:hAnsi="Palatino Linotype" w:cs="Times New Roman"/>
          <w:lang w:val="es-ES" w:eastAsia="es-ES"/>
        </w:rPr>
        <w:t>que a fin de salvaguardar el derecho de acceso a la información de</w:t>
      </w:r>
      <w:r w:rsidRPr="00335C19">
        <w:rPr>
          <w:rFonts w:ascii="Palatino Linotype" w:eastAsia="Times New Roman" w:hAnsi="Palatino Linotype" w:cs="Times New Roman"/>
          <w:lang w:val="es-ES" w:eastAsia="es-ES"/>
        </w:rPr>
        <w:t xml:space="preserve"> </w:t>
      </w:r>
      <w:r w:rsidR="00AD24B7" w:rsidRPr="00335C19">
        <w:rPr>
          <w:rFonts w:ascii="Palatino Linotype" w:eastAsia="Times New Roman" w:hAnsi="Palatino Linotype" w:cs="Times New Roman"/>
          <w:lang w:val="es-ES" w:eastAsia="es-ES"/>
        </w:rPr>
        <w:t>l</w:t>
      </w:r>
      <w:r w:rsidRPr="00335C19">
        <w:rPr>
          <w:rFonts w:ascii="Palatino Linotype" w:eastAsia="Times New Roman" w:hAnsi="Palatino Linotype" w:cs="Times New Roman"/>
          <w:lang w:val="es-ES" w:eastAsia="es-ES"/>
        </w:rPr>
        <w:t>a</w:t>
      </w:r>
      <w:r w:rsidR="00AD24B7" w:rsidRPr="00335C19">
        <w:rPr>
          <w:rFonts w:ascii="Palatino Linotype" w:eastAsia="Times New Roman" w:hAnsi="Palatino Linotype" w:cs="Times New Roman"/>
          <w:lang w:val="es-ES" w:eastAsia="es-ES"/>
        </w:rPr>
        <w:t xml:space="preserve"> particular, la Ponencia resolutora debió notificar mediante el resolutivo</w:t>
      </w:r>
      <w:r w:rsidRPr="00335C19">
        <w:rPr>
          <w:rFonts w:ascii="Palatino Linotype" w:eastAsia="Times New Roman" w:hAnsi="Palatino Linotype" w:cs="Times New Roman"/>
          <w:color w:val="FF0000"/>
          <w:lang w:val="es-ES" w:eastAsia="es-ES"/>
        </w:rPr>
        <w:t xml:space="preserve"> </w:t>
      </w:r>
      <w:r w:rsidRPr="00335C19">
        <w:rPr>
          <w:rFonts w:ascii="Palatino Linotype" w:eastAsia="Times New Roman" w:hAnsi="Palatino Linotype" w:cs="Times New Roman"/>
          <w:lang w:val="es-ES" w:eastAsia="es-ES"/>
        </w:rPr>
        <w:t>Tercero</w:t>
      </w:r>
      <w:r w:rsidR="00225005" w:rsidRPr="00335C19">
        <w:rPr>
          <w:rFonts w:ascii="Palatino Linotype" w:eastAsia="Times New Roman" w:hAnsi="Palatino Linotype" w:cs="Times New Roman"/>
          <w:lang w:val="es-ES" w:eastAsia="es-ES"/>
        </w:rPr>
        <w:t xml:space="preserve">, </w:t>
      </w:r>
      <w:r w:rsidRPr="00335C19">
        <w:rPr>
          <w:rFonts w:ascii="Palatino Linotype" w:eastAsia="Times New Roman" w:hAnsi="Palatino Linotype" w:cs="Times New Roman"/>
          <w:lang w:val="es-ES" w:eastAsia="es-ES"/>
        </w:rPr>
        <w:t>q</w:t>
      </w:r>
      <w:r w:rsidR="00AD24B7" w:rsidRPr="00335C19">
        <w:rPr>
          <w:rFonts w:ascii="Palatino Linotype" w:eastAsia="Times New Roman" w:hAnsi="Palatino Linotype" w:cs="Times New Roman"/>
          <w:lang w:val="es-ES" w:eastAsia="es-ES"/>
        </w:rPr>
        <w:t xml:space="preserve">ue </w:t>
      </w:r>
      <w:r w:rsidRPr="00335C19">
        <w:rPr>
          <w:rFonts w:ascii="Palatino Linotype" w:eastAsia="Times New Roman" w:hAnsi="Palatino Linotype" w:cs="Times New Roman"/>
          <w:lang w:val="es-ES" w:eastAsia="es-ES"/>
        </w:rPr>
        <w:t xml:space="preserve">la </w:t>
      </w:r>
      <w:r w:rsidR="00AD24B7" w:rsidRPr="00335C19">
        <w:rPr>
          <w:rFonts w:ascii="Palatino Linotype" w:eastAsia="Times New Roman" w:hAnsi="Palatino Linotype" w:cs="Times New Roman"/>
          <w:lang w:val="es-ES" w:eastAsia="es-ES"/>
        </w:rPr>
        <w:t xml:space="preserve">hoy Recurrente podía interponer recurso de inconformidad ante el Instituto Nacional de Transparencia, Acceso a la Información y </w:t>
      </w:r>
      <w:r w:rsidR="00A2363A" w:rsidRPr="00335C19">
        <w:rPr>
          <w:rFonts w:ascii="Palatino Linotype" w:eastAsia="Times New Roman" w:hAnsi="Palatino Linotype" w:cs="Times New Roman"/>
          <w:lang w:val="es-ES" w:eastAsia="es-ES"/>
        </w:rPr>
        <w:t xml:space="preserve">Protección de Datos Personales </w:t>
      </w:r>
      <w:r w:rsidR="00AD24B7" w:rsidRPr="00335C19">
        <w:rPr>
          <w:rFonts w:ascii="Palatino Linotype" w:eastAsia="Times New Roman" w:hAnsi="Palatino Linotype" w:cs="Times New Roman"/>
          <w:lang w:val="es-ES" w:eastAsia="es-ES"/>
        </w:rPr>
        <w:t>o ante el Poder Judicial de la Federación</w:t>
      </w:r>
      <w:r w:rsidRPr="00335C19">
        <w:rPr>
          <w:rFonts w:ascii="Palatino Linotype" w:eastAsia="Times New Roman" w:hAnsi="Palatino Linotype" w:cs="Times New Roman"/>
          <w:lang w:val="es-ES" w:eastAsia="es-ES"/>
        </w:rPr>
        <w:t>,</w:t>
      </w:r>
      <w:r w:rsidR="00AD24B7" w:rsidRPr="00335C19">
        <w:rPr>
          <w:rFonts w:ascii="Palatino Linotype" w:eastAsia="Times New Roman" w:hAnsi="Palatino Linotype" w:cs="Times New Roman"/>
          <w:lang w:val="es-ES" w:eastAsia="es-ES"/>
        </w:rPr>
        <w:t xml:space="preserve"> con </w:t>
      </w:r>
      <w:r w:rsidRPr="00335C19">
        <w:rPr>
          <w:rFonts w:ascii="Palatino Linotype" w:eastAsia="Times New Roman" w:hAnsi="Palatino Linotype" w:cs="Times New Roman"/>
          <w:lang w:val="es-ES" w:eastAsia="es-ES"/>
        </w:rPr>
        <w:t>fundamento e</w:t>
      </w:r>
      <w:r w:rsidR="00AD24B7" w:rsidRPr="00335C19">
        <w:rPr>
          <w:rFonts w:ascii="Palatino Linotype" w:eastAsia="Times New Roman" w:hAnsi="Palatino Linotype" w:cs="Times New Roman"/>
          <w:lang w:val="es-ES" w:eastAsia="es-ES"/>
        </w:rPr>
        <w:t xml:space="preserve">n </w:t>
      </w:r>
      <w:r w:rsidRPr="00335C19">
        <w:rPr>
          <w:rFonts w:ascii="Palatino Linotype" w:eastAsia="Times New Roman" w:hAnsi="Palatino Linotype" w:cs="Times New Roman"/>
          <w:lang w:val="es-ES" w:eastAsia="es-ES"/>
        </w:rPr>
        <w:t xml:space="preserve">lo dispuesto por </w:t>
      </w:r>
      <w:r w:rsidR="00AD24B7" w:rsidRPr="00335C19">
        <w:rPr>
          <w:rFonts w:ascii="Palatino Linotype" w:eastAsia="Times New Roman" w:hAnsi="Palatino Linotype" w:cs="Times New Roman"/>
          <w:lang w:val="es-ES" w:eastAsia="es-ES"/>
        </w:rPr>
        <w:t xml:space="preserve">los artículos 196 de la Ley de </w:t>
      </w:r>
      <w:r w:rsidR="00AD24B7" w:rsidRPr="00335C19">
        <w:rPr>
          <w:rFonts w:ascii="Palatino Linotype" w:eastAsia="Times New Roman" w:hAnsi="Palatino Linotype" w:cs="Times New Roman"/>
          <w:lang w:val="es-ES" w:eastAsia="es-ES"/>
        </w:rPr>
        <w:lastRenderedPageBreak/>
        <w:t>Transparencia y Acceso a la Información Pública del Estado de México de México y Municipios, 159 y 160 de la Ley General de Transparencia y Acceso a la Información Pública.</w:t>
      </w:r>
    </w:p>
    <w:p w:rsidR="00AD24B7" w:rsidRPr="00335C19" w:rsidRDefault="00AD24B7" w:rsidP="00AD24B7">
      <w:pPr>
        <w:spacing w:line="360" w:lineRule="auto"/>
        <w:jc w:val="both"/>
        <w:rPr>
          <w:rFonts w:ascii="Palatino Linotype" w:hAnsi="Palatino Linotype"/>
          <w:b/>
        </w:rPr>
      </w:pPr>
      <w:r w:rsidRPr="00335C19">
        <w:rPr>
          <w:rFonts w:ascii="Palatino Linotype" w:hAnsi="Palatino Linotype" w:cs="Arial"/>
        </w:rPr>
        <w:t>Consideraciones de hecho y derecho</w:t>
      </w:r>
      <w:r w:rsidR="006B53DC" w:rsidRPr="00335C19">
        <w:rPr>
          <w:rFonts w:ascii="Palatino Linotype" w:hAnsi="Palatino Linotype" w:cs="Arial"/>
        </w:rPr>
        <w:t xml:space="preserve"> que constituyen </w:t>
      </w:r>
      <w:r w:rsidRPr="00335C19">
        <w:rPr>
          <w:rFonts w:ascii="Palatino Linotype" w:hAnsi="Palatino Linotype"/>
        </w:rPr>
        <w:t>la emisión del presente Voto Particular</w:t>
      </w:r>
      <w:r w:rsidR="00C57674" w:rsidRPr="00335C19">
        <w:rPr>
          <w:rFonts w:ascii="Palatino Linotype" w:hAnsi="Palatino Linotype"/>
        </w:rPr>
        <w:t xml:space="preserve"> Concurrente</w:t>
      </w:r>
      <w:r w:rsidRPr="00335C19">
        <w:rPr>
          <w:rFonts w:ascii="Palatino Linotype" w:hAnsi="Palatino Linotype"/>
        </w:rPr>
        <w:t xml:space="preserve">, relacionado con la resolución del recurso de revisión referido. </w:t>
      </w:r>
    </w:p>
    <w:p w:rsidR="00AD24B7" w:rsidRPr="00335C19" w:rsidRDefault="00AD24B7" w:rsidP="00AD24B7">
      <w:pPr>
        <w:spacing w:after="0" w:line="276" w:lineRule="auto"/>
        <w:jc w:val="center"/>
        <w:rPr>
          <w:rFonts w:ascii="Palatino Linotype" w:hAnsi="Palatino Linotype"/>
          <w:b/>
        </w:rPr>
      </w:pPr>
    </w:p>
    <w:p w:rsidR="00AD24B7" w:rsidRPr="00335C19" w:rsidRDefault="00AD24B7" w:rsidP="00AD24B7">
      <w:pPr>
        <w:spacing w:after="0" w:line="276" w:lineRule="auto"/>
        <w:jc w:val="center"/>
        <w:rPr>
          <w:rFonts w:ascii="Palatino Linotype" w:hAnsi="Palatino Linotype"/>
          <w:b/>
        </w:rPr>
      </w:pPr>
    </w:p>
    <w:p w:rsidR="00AD24B7" w:rsidRPr="00335C19" w:rsidRDefault="00AD24B7" w:rsidP="00AD24B7">
      <w:pPr>
        <w:spacing w:after="0" w:line="276" w:lineRule="auto"/>
        <w:jc w:val="center"/>
        <w:rPr>
          <w:rFonts w:ascii="Palatino Linotype" w:hAnsi="Palatino Linotype"/>
          <w:b/>
        </w:rPr>
      </w:pPr>
    </w:p>
    <w:p w:rsidR="00335C19" w:rsidRDefault="00C7542E" w:rsidP="00C7542E">
      <w:pPr>
        <w:spacing w:after="0" w:line="240" w:lineRule="auto"/>
        <w:rPr>
          <w:rFonts w:ascii="Palatino Linotype" w:hAnsi="Palatino Linotype"/>
          <w:b/>
        </w:rPr>
      </w:pPr>
      <w:r w:rsidRPr="00335C19">
        <w:rPr>
          <w:rFonts w:ascii="Palatino Linotype" w:hAnsi="Palatino Linotype"/>
          <w:b/>
        </w:rPr>
        <w:t xml:space="preserve">             </w:t>
      </w:r>
      <w:r w:rsidR="00C976AC" w:rsidRPr="00335C19">
        <w:rPr>
          <w:rFonts w:ascii="Palatino Linotype" w:hAnsi="Palatino Linotype"/>
          <w:b/>
        </w:rPr>
        <w:t xml:space="preserve">        </w:t>
      </w:r>
    </w:p>
    <w:p w:rsidR="00335C19" w:rsidRDefault="00335C19" w:rsidP="00C7542E">
      <w:pPr>
        <w:spacing w:after="0" w:line="240" w:lineRule="auto"/>
        <w:rPr>
          <w:rFonts w:ascii="Palatino Linotype" w:hAnsi="Palatino Linotype"/>
          <w:b/>
        </w:rPr>
      </w:pPr>
    </w:p>
    <w:p w:rsidR="00335C19" w:rsidRDefault="00335C19" w:rsidP="00C7542E">
      <w:pPr>
        <w:spacing w:after="0" w:line="240" w:lineRule="auto"/>
        <w:rPr>
          <w:rFonts w:ascii="Palatino Linotype" w:hAnsi="Palatino Linotype"/>
          <w:b/>
        </w:rPr>
      </w:pPr>
      <w:r>
        <w:rPr>
          <w:rFonts w:ascii="Palatino Linotype" w:hAnsi="Palatino Linotype"/>
          <w:b/>
        </w:rPr>
        <w:t xml:space="preserve">                   </w:t>
      </w:r>
    </w:p>
    <w:p w:rsidR="00335C19" w:rsidRDefault="00335C19" w:rsidP="00C7542E">
      <w:pPr>
        <w:spacing w:after="0" w:line="240" w:lineRule="auto"/>
        <w:rPr>
          <w:rFonts w:ascii="Palatino Linotype" w:hAnsi="Palatino Linotype"/>
          <w:b/>
        </w:rPr>
      </w:pPr>
    </w:p>
    <w:p w:rsidR="00335C19" w:rsidRDefault="00335C19" w:rsidP="00C7542E">
      <w:pPr>
        <w:spacing w:after="0" w:line="240" w:lineRule="auto"/>
        <w:rPr>
          <w:rFonts w:ascii="Palatino Linotype" w:hAnsi="Palatino Linotype"/>
          <w:b/>
        </w:rPr>
      </w:pPr>
      <w:r>
        <w:rPr>
          <w:rFonts w:ascii="Palatino Linotype" w:hAnsi="Palatino Linotype"/>
          <w:b/>
        </w:rPr>
        <w:t xml:space="preserve">                  </w:t>
      </w:r>
    </w:p>
    <w:p w:rsidR="00335C19" w:rsidRDefault="00335C19" w:rsidP="00C7542E">
      <w:pPr>
        <w:spacing w:after="0" w:line="240" w:lineRule="auto"/>
        <w:rPr>
          <w:rFonts w:ascii="Palatino Linotype" w:hAnsi="Palatino Linotype"/>
          <w:b/>
        </w:rPr>
      </w:pPr>
    </w:p>
    <w:p w:rsidR="00C72D86" w:rsidRPr="00335C19" w:rsidRDefault="00335C19" w:rsidP="00C7542E">
      <w:pPr>
        <w:spacing w:after="0" w:line="240" w:lineRule="auto"/>
        <w:rPr>
          <w:rFonts w:ascii="Palatino Linotype" w:hAnsi="Palatino Linotype"/>
          <w:b/>
        </w:rPr>
      </w:pPr>
      <w:r>
        <w:rPr>
          <w:rFonts w:ascii="Palatino Linotype" w:hAnsi="Palatino Linotype"/>
          <w:b/>
        </w:rPr>
        <w:t xml:space="preserve">                    </w:t>
      </w:r>
      <w:r w:rsidR="00C72D86" w:rsidRPr="00335C19">
        <w:rPr>
          <w:rFonts w:ascii="Palatino Linotype" w:hAnsi="Palatino Linotype"/>
          <w:b/>
        </w:rPr>
        <w:t xml:space="preserve">Javier Martínez Cruz               </w:t>
      </w:r>
      <w:r w:rsidR="00C7542E" w:rsidRPr="00335C19">
        <w:rPr>
          <w:rFonts w:ascii="Palatino Linotype" w:hAnsi="Palatino Linotype"/>
          <w:b/>
        </w:rPr>
        <w:t xml:space="preserve">         </w:t>
      </w:r>
      <w:r w:rsidR="00C976AC" w:rsidRPr="00335C19">
        <w:rPr>
          <w:rFonts w:ascii="Palatino Linotype" w:hAnsi="Palatino Linotype"/>
          <w:b/>
        </w:rPr>
        <w:t xml:space="preserve">                  </w:t>
      </w:r>
      <w:r w:rsidR="00C7542E" w:rsidRPr="00335C19">
        <w:rPr>
          <w:rFonts w:ascii="Palatino Linotype" w:hAnsi="Palatino Linotype"/>
          <w:b/>
        </w:rPr>
        <w:t>Eva Abaid Yapur</w:t>
      </w:r>
    </w:p>
    <w:p w:rsidR="00C72D86" w:rsidRPr="00335C19" w:rsidRDefault="004B391C" w:rsidP="004B391C">
      <w:pPr>
        <w:spacing w:after="0" w:line="240" w:lineRule="auto"/>
        <w:rPr>
          <w:rFonts w:ascii="Palatino Linotype" w:hAnsi="Palatino Linotype"/>
        </w:rPr>
      </w:pPr>
      <w:r w:rsidRPr="00335C19">
        <w:rPr>
          <w:rFonts w:ascii="Palatino Linotype" w:hAnsi="Palatino Linotype"/>
        </w:rPr>
        <w:t xml:space="preserve">                         </w:t>
      </w:r>
      <w:r w:rsidR="00C976AC" w:rsidRPr="00335C19">
        <w:rPr>
          <w:rFonts w:ascii="Palatino Linotype" w:hAnsi="Palatino Linotype"/>
        </w:rPr>
        <w:t xml:space="preserve"> </w:t>
      </w:r>
      <w:r w:rsidR="00C72D86" w:rsidRPr="00335C19">
        <w:rPr>
          <w:rFonts w:ascii="Palatino Linotype" w:hAnsi="Palatino Linotype"/>
        </w:rPr>
        <w:t xml:space="preserve">Comisionado               </w:t>
      </w:r>
      <w:r w:rsidRPr="00335C19">
        <w:rPr>
          <w:rFonts w:ascii="Palatino Linotype" w:hAnsi="Palatino Linotype"/>
        </w:rPr>
        <w:t xml:space="preserve">                               </w:t>
      </w:r>
      <w:r w:rsidR="00C976AC" w:rsidRPr="00335C19">
        <w:rPr>
          <w:rFonts w:ascii="Palatino Linotype" w:hAnsi="Palatino Linotype"/>
        </w:rPr>
        <w:t xml:space="preserve">         </w:t>
      </w:r>
      <w:r w:rsidR="00C72D86" w:rsidRPr="00335C19">
        <w:rPr>
          <w:rFonts w:ascii="Palatino Linotype" w:hAnsi="Palatino Linotype"/>
        </w:rPr>
        <w:t>Comisionada</w:t>
      </w:r>
    </w:p>
    <w:p w:rsidR="006060EE" w:rsidRPr="00335C19" w:rsidRDefault="006060EE" w:rsidP="004B391C">
      <w:pPr>
        <w:spacing w:after="0" w:line="240" w:lineRule="auto"/>
        <w:rPr>
          <w:rFonts w:ascii="Palatino Linotype" w:hAnsi="Palatino Linotype"/>
        </w:rPr>
      </w:pPr>
      <w:r w:rsidRPr="00335C19">
        <w:rPr>
          <w:rFonts w:ascii="Palatino Linotype" w:hAnsi="Palatino Linotype"/>
        </w:rPr>
        <w:t xml:space="preserve">                             </w:t>
      </w:r>
    </w:p>
    <w:sectPr w:rsidR="006060EE" w:rsidRPr="00335C19" w:rsidSect="00DC32F9">
      <w:headerReference w:type="even" r:id="rId9"/>
      <w:headerReference w:type="default" r:id="rId10"/>
      <w:footerReference w:type="even" r:id="rId11"/>
      <w:footerReference w:type="default" r:id="rId12"/>
      <w:headerReference w:type="first" r:id="rId13"/>
      <w:footerReference w:type="first" r:id="rId14"/>
      <w:pgSz w:w="12240" w:h="15840"/>
      <w:pgMar w:top="1871" w:right="1327" w:bottom="241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A5C" w:rsidRDefault="00404A5C" w:rsidP="00907451">
      <w:pPr>
        <w:spacing w:after="0" w:line="240" w:lineRule="auto"/>
      </w:pPr>
      <w:r>
        <w:separator/>
      </w:r>
    </w:p>
  </w:endnote>
  <w:endnote w:type="continuationSeparator" w:id="0">
    <w:p w:rsidR="00404A5C" w:rsidRDefault="00404A5C"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E64" w:rsidRDefault="00E37E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25BBF">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25BBF">
      <w:rPr>
        <w:rFonts w:ascii="Arial" w:hAnsi="Arial" w:cs="Arial"/>
        <w:b/>
        <w:bCs/>
        <w:noProof/>
        <w:sz w:val="20"/>
        <w:szCs w:val="20"/>
      </w:rPr>
      <w:t>6</w:t>
    </w:r>
    <w:r w:rsidRPr="00986599">
      <w:rPr>
        <w:rFonts w:ascii="Arial" w:hAnsi="Arial" w:cs="Arial"/>
        <w:b/>
        <w:bCs/>
        <w:sz w:val="20"/>
        <w:szCs w:val="20"/>
      </w:rPr>
      <w:fldChar w:fldCharType="end"/>
    </w:r>
  </w:p>
  <w:p w:rsidR="00D758BE" w:rsidRDefault="00404A5C" w:rsidP="0099699B">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E64" w:rsidRDefault="00E37E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A5C" w:rsidRDefault="00404A5C" w:rsidP="00907451">
      <w:pPr>
        <w:spacing w:after="0" w:line="240" w:lineRule="auto"/>
      </w:pPr>
      <w:r>
        <w:separator/>
      </w:r>
    </w:p>
  </w:footnote>
  <w:footnote w:type="continuationSeparator" w:id="0">
    <w:p w:rsidR="00404A5C" w:rsidRDefault="00404A5C" w:rsidP="00907451">
      <w:pPr>
        <w:spacing w:after="0" w:line="240" w:lineRule="auto"/>
      </w:pPr>
      <w:r>
        <w:continuationSeparator/>
      </w:r>
    </w:p>
  </w:footnote>
  <w:footnote w:id="1">
    <w:p w:rsidR="00AD24B7" w:rsidRPr="00747C5F" w:rsidRDefault="00AD24B7" w:rsidP="00AD24B7">
      <w:pPr>
        <w:pStyle w:val="Textonotapie"/>
        <w:jc w:val="both"/>
        <w:rPr>
          <w:rFonts w:ascii="Palatino Linotype" w:hAnsi="Palatino Linotype"/>
          <w:i/>
          <w:sz w:val="18"/>
          <w:szCs w:val="18"/>
        </w:rPr>
      </w:pPr>
      <w:r>
        <w:rPr>
          <w:rStyle w:val="Refdenotaalpie"/>
        </w:rPr>
        <w:footnoteRef/>
      </w:r>
      <w:r>
        <w:t xml:space="preserve"> </w:t>
      </w:r>
      <w:r w:rsidRPr="00747C5F">
        <w:rPr>
          <w:rFonts w:ascii="Palatino Linotype" w:hAnsi="Palatino Linotype"/>
          <w:i/>
          <w:sz w:val="18"/>
          <w:szCs w:val="18"/>
        </w:rPr>
        <w:t xml:space="preserve">Cfr. </w:t>
      </w:r>
      <w:r w:rsidRPr="00747C5F">
        <w:rPr>
          <w:rFonts w:ascii="Palatino Linotype" w:hAnsi="Palatino Linotype"/>
          <w:sz w:val="18"/>
          <w:szCs w:val="18"/>
        </w:rPr>
        <w:t xml:space="preserve">Tesis Aislada de la Décima Época P. II/2017 (10a.) </w:t>
      </w:r>
      <w:r w:rsidRPr="00747C5F">
        <w:rPr>
          <w:rFonts w:ascii="Palatino Linotype" w:hAnsi="Palatino Linotype"/>
          <w:i/>
          <w:sz w:val="18"/>
          <w:szCs w:val="18"/>
        </w:rPr>
        <w:t>INTERPRETACIÓN CONFORME. SUS ALCANCES EN RELACIÓN CON EL PRINCIPIO DE INTERPRETACIÓN MÁS FAVORABLE A LA PERSONA. 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inconvencional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inconvencionalidad;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persona y en todo caso a la sociedad.</w:t>
      </w:r>
    </w:p>
  </w:footnote>
  <w:footnote w:id="2">
    <w:p w:rsidR="00AD24B7" w:rsidRPr="00747C5F" w:rsidRDefault="00AD24B7" w:rsidP="00AD24B7">
      <w:pPr>
        <w:pStyle w:val="Textonotapie"/>
        <w:jc w:val="both"/>
        <w:rPr>
          <w:rFonts w:ascii="Palatino Linotype" w:hAnsi="Palatino Linotype"/>
          <w:i/>
          <w:sz w:val="18"/>
          <w:szCs w:val="18"/>
        </w:rPr>
      </w:pPr>
      <w:r w:rsidRPr="00747C5F">
        <w:rPr>
          <w:rStyle w:val="Refdenotaalpie"/>
          <w:sz w:val="18"/>
          <w:szCs w:val="18"/>
        </w:rPr>
        <w:footnoteRef/>
      </w:r>
      <w:r w:rsidRPr="00747C5F">
        <w:rPr>
          <w:sz w:val="18"/>
          <w:szCs w:val="18"/>
        </w:rPr>
        <w:t xml:space="preserve"> </w:t>
      </w:r>
      <w:r w:rsidRPr="00747C5F">
        <w:rPr>
          <w:rFonts w:ascii="Palatino Linotype" w:hAnsi="Palatino Linotype"/>
          <w:i/>
          <w:sz w:val="18"/>
          <w:szCs w:val="18"/>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Está prohibida la esclavitud en los Estados Unidos Mexicanos. Los esclavos del extranjero que entren al territorio nacional alcanzarán, por este solo hecho, su libertad y la protección de las leyes.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7319">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404A5C" w:rsidP="007263BB">
    <w:pPr>
      <w:pStyle w:val="Encabezado"/>
      <w:jc w:val="right"/>
      <w:rPr>
        <w:rFonts w:ascii="Arial" w:hAnsi="Arial" w:cs="Arial"/>
        <w:sz w:val="20"/>
        <w:szCs w:val="20"/>
      </w:rPr>
    </w:pPr>
    <w:sdt>
      <w:sdtPr>
        <w:rPr>
          <w:rFonts w:ascii="Arial" w:hAnsi="Arial" w:cs="Arial"/>
          <w:sz w:val="20"/>
          <w:szCs w:val="20"/>
        </w:rPr>
        <w:id w:val="-1476831341"/>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495502" o:spid="_x0000_s2052" type="#_x0000_t136" style="position:absolute;left:0;text-align:left;margin-left:0;margin-top:0;width:582.15pt;height:47.2pt;rotation:315;z-index:-251657728;mso-position-horizontal:center;mso-position-horizontal-relative:margin;mso-position-vertical:center;mso-position-vertical-relative:margin" o:allowincell="f" fillcolor="#bfbfbf [2412]" stroked="f">
              <v:fill opacity=".5"/>
              <v:textpath style="font-family:&quot;Palatino Linotype&quot;;font-size:1pt" string="VOTO  PARTICULAR CONCURRENTE"/>
              <w10:wrap anchorx="margin" anchory="margin"/>
            </v:shape>
          </w:pict>
        </w:r>
      </w:sdtContent>
    </w:sdt>
    <w:r w:rsidR="00354268">
      <w:rPr>
        <w:noProof/>
        <w:lang w:val="es-MX" w:eastAsia="es-MX"/>
      </w:rPr>
      <w:drawing>
        <wp:anchor distT="0" distB="0" distL="114300" distR="114300" simplePos="0" relativeHeight="251657728" behindDoc="1" locked="0" layoutInCell="1" allowOverlap="1" wp14:anchorId="58FA3A98" wp14:editId="12A6B8FB">
          <wp:simplePos x="0" y="0"/>
          <wp:positionH relativeFrom="column">
            <wp:posOffset>-1072967</wp:posOffset>
          </wp:positionH>
          <wp:positionV relativeFrom="paragraph">
            <wp:posOffset>-449906</wp:posOffset>
          </wp:positionV>
          <wp:extent cx="7510628" cy="9883775"/>
          <wp:effectExtent l="0" t="0" r="0" b="3175"/>
          <wp:wrapNone/>
          <wp:docPr id="5" name="Imagen 5"/>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404A5C" w:rsidP="007263BB">
    <w:pPr>
      <w:pStyle w:val="Encabezado"/>
      <w:jc w:val="right"/>
      <w:rPr>
        <w:rFonts w:ascii="Arial" w:hAnsi="Arial" w:cs="Arial"/>
        <w:sz w:val="20"/>
        <w:szCs w:val="20"/>
      </w:rPr>
    </w:pPr>
  </w:p>
  <w:p w:rsidR="00D758BE" w:rsidRDefault="00404A5C"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F81F58">
      <w:rPr>
        <w:rFonts w:ascii="Palatino Linotype" w:hAnsi="Palatino Linotype" w:cs="Arial"/>
        <w:b/>
        <w:sz w:val="20"/>
        <w:szCs w:val="20"/>
      </w:rPr>
      <w:t xml:space="preserve"> CONCURRENTE.</w:t>
    </w:r>
    <w:r w:rsidR="00057319" w:rsidRPr="00563D0F">
      <w:rPr>
        <w:rFonts w:ascii="Palatino Linotype" w:hAnsi="Palatino Linotype" w:cs="Arial"/>
        <w:b/>
        <w:sz w:val="20"/>
        <w:szCs w:val="20"/>
      </w:rPr>
      <w:t xml:space="preserve"> </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521B7">
      <w:rPr>
        <w:rFonts w:ascii="Palatino Linotype" w:hAnsi="Palatino Linotype" w:cs="Arial"/>
        <w:b/>
        <w:sz w:val="20"/>
        <w:szCs w:val="20"/>
      </w:rPr>
      <w:t>0</w:t>
    </w:r>
    <w:r w:rsidR="00020595">
      <w:rPr>
        <w:rFonts w:ascii="Palatino Linotype" w:hAnsi="Palatino Linotype" w:cs="Arial"/>
        <w:b/>
        <w:sz w:val="20"/>
        <w:szCs w:val="20"/>
      </w:rPr>
      <w:t>2720</w:t>
    </w:r>
    <w:r w:rsidR="00897E24" w:rsidRPr="00897E24">
      <w:rPr>
        <w:rFonts w:ascii="Palatino Linotype" w:hAnsi="Palatino Linotype" w:cs="Arial"/>
        <w:b/>
        <w:sz w:val="20"/>
        <w:szCs w:val="20"/>
      </w:rPr>
      <w:t>/INFOEM/IP/RR/201</w:t>
    </w:r>
    <w:r w:rsidR="00143624">
      <w:rPr>
        <w:rFonts w:ascii="Palatino Linotype" w:hAnsi="Palatino Linotype" w:cs="Arial"/>
        <w:b/>
        <w:sz w:val="20"/>
        <w:szCs w:val="20"/>
      </w:rPr>
      <w:t>8.</w:t>
    </w:r>
  </w:p>
  <w:p w:rsidR="00D758BE" w:rsidRDefault="00404A5C" w:rsidP="007263BB">
    <w:pPr>
      <w:pStyle w:val="Encabezado"/>
      <w:jc w:val="right"/>
      <w:rPr>
        <w:rFonts w:ascii="Palatino Linotype" w:hAnsi="Palatino Linotype" w:cs="Arial"/>
        <w:sz w:val="20"/>
        <w:szCs w:val="20"/>
      </w:rPr>
    </w:pPr>
  </w:p>
  <w:p w:rsidR="00233AB2" w:rsidRDefault="00404A5C"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E64" w:rsidRDefault="00E37E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3F"/>
    <w:multiLevelType w:val="hybridMultilevel"/>
    <w:tmpl w:val="1FD22806"/>
    <w:lvl w:ilvl="0" w:tplc="0D2CC0C6">
      <w:start w:val="6"/>
      <w:numFmt w:val="decimal"/>
      <w:lvlText w:val="%1."/>
      <w:lvlJc w:val="left"/>
      <w:pPr>
        <w:ind w:left="927"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CA7050"/>
    <w:multiLevelType w:val="hybridMultilevel"/>
    <w:tmpl w:val="A7E802EC"/>
    <w:lvl w:ilvl="0" w:tplc="CEFAFC60">
      <w:start w:val="13"/>
      <w:numFmt w:val="decimal"/>
      <w:lvlText w:val="%1."/>
      <w:lvlJc w:val="left"/>
      <w:pPr>
        <w:ind w:left="927" w:hanging="360"/>
      </w:pPr>
      <w:rPr>
        <w:rFonts w:cs="Arial" w:hint="default"/>
        <w:i/>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84C0A66"/>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0595"/>
    <w:rsid w:val="0002132C"/>
    <w:rsid w:val="00022E70"/>
    <w:rsid w:val="00030212"/>
    <w:rsid w:val="00032EE8"/>
    <w:rsid w:val="00047E96"/>
    <w:rsid w:val="00051C17"/>
    <w:rsid w:val="00053654"/>
    <w:rsid w:val="00057319"/>
    <w:rsid w:val="000607BA"/>
    <w:rsid w:val="000632F3"/>
    <w:rsid w:val="000646F9"/>
    <w:rsid w:val="000740BF"/>
    <w:rsid w:val="00085D13"/>
    <w:rsid w:val="000959AD"/>
    <w:rsid w:val="000A05B3"/>
    <w:rsid w:val="000A05F9"/>
    <w:rsid w:val="000A1E83"/>
    <w:rsid w:val="000A1F05"/>
    <w:rsid w:val="000A3415"/>
    <w:rsid w:val="000A52F5"/>
    <w:rsid w:val="000D45AD"/>
    <w:rsid w:val="001038D5"/>
    <w:rsid w:val="00112E3B"/>
    <w:rsid w:val="001209C9"/>
    <w:rsid w:val="001229EC"/>
    <w:rsid w:val="001248B9"/>
    <w:rsid w:val="001263E9"/>
    <w:rsid w:val="001360A5"/>
    <w:rsid w:val="001412C3"/>
    <w:rsid w:val="00143624"/>
    <w:rsid w:val="0015034F"/>
    <w:rsid w:val="001521B7"/>
    <w:rsid w:val="001528D6"/>
    <w:rsid w:val="00155046"/>
    <w:rsid w:val="00166985"/>
    <w:rsid w:val="00172B32"/>
    <w:rsid w:val="00173C5B"/>
    <w:rsid w:val="00176A16"/>
    <w:rsid w:val="001822F4"/>
    <w:rsid w:val="00186F6F"/>
    <w:rsid w:val="00191236"/>
    <w:rsid w:val="00196D0F"/>
    <w:rsid w:val="001A3B49"/>
    <w:rsid w:val="001A7C78"/>
    <w:rsid w:val="001B0084"/>
    <w:rsid w:val="001B271B"/>
    <w:rsid w:val="001C151C"/>
    <w:rsid w:val="001C3682"/>
    <w:rsid w:val="001C7791"/>
    <w:rsid w:val="001D1536"/>
    <w:rsid w:val="001D7FBC"/>
    <w:rsid w:val="001F0F67"/>
    <w:rsid w:val="001F622E"/>
    <w:rsid w:val="001F686D"/>
    <w:rsid w:val="0020784D"/>
    <w:rsid w:val="00207AC4"/>
    <w:rsid w:val="00211214"/>
    <w:rsid w:val="00225005"/>
    <w:rsid w:val="00235A94"/>
    <w:rsid w:val="00253C2D"/>
    <w:rsid w:val="002813BC"/>
    <w:rsid w:val="002852F2"/>
    <w:rsid w:val="002901BE"/>
    <w:rsid w:val="00292D40"/>
    <w:rsid w:val="002A5ADD"/>
    <w:rsid w:val="002A5F7A"/>
    <w:rsid w:val="002A6359"/>
    <w:rsid w:val="002B0D5A"/>
    <w:rsid w:val="002D3ACC"/>
    <w:rsid w:val="002D7AFB"/>
    <w:rsid w:val="002E2DB1"/>
    <w:rsid w:val="002E37F8"/>
    <w:rsid w:val="002E6C25"/>
    <w:rsid w:val="002E6F99"/>
    <w:rsid w:val="002F1845"/>
    <w:rsid w:val="0030480F"/>
    <w:rsid w:val="00314438"/>
    <w:rsid w:val="00322324"/>
    <w:rsid w:val="00322F60"/>
    <w:rsid w:val="0033414C"/>
    <w:rsid w:val="00334201"/>
    <w:rsid w:val="00335C19"/>
    <w:rsid w:val="00351122"/>
    <w:rsid w:val="00354268"/>
    <w:rsid w:val="0036408D"/>
    <w:rsid w:val="0038642F"/>
    <w:rsid w:val="003A209F"/>
    <w:rsid w:val="003A25DC"/>
    <w:rsid w:val="003A4486"/>
    <w:rsid w:val="003C500B"/>
    <w:rsid w:val="003C7D1D"/>
    <w:rsid w:val="003D1840"/>
    <w:rsid w:val="003F233C"/>
    <w:rsid w:val="003F2FD3"/>
    <w:rsid w:val="00404A5C"/>
    <w:rsid w:val="00404D77"/>
    <w:rsid w:val="00422629"/>
    <w:rsid w:val="0042332B"/>
    <w:rsid w:val="00456467"/>
    <w:rsid w:val="0045723C"/>
    <w:rsid w:val="00462FE0"/>
    <w:rsid w:val="00465786"/>
    <w:rsid w:val="00471402"/>
    <w:rsid w:val="00476CF0"/>
    <w:rsid w:val="00477E5C"/>
    <w:rsid w:val="00477FDA"/>
    <w:rsid w:val="00480D27"/>
    <w:rsid w:val="0049578E"/>
    <w:rsid w:val="004B391C"/>
    <w:rsid w:val="004B6824"/>
    <w:rsid w:val="004E0B4E"/>
    <w:rsid w:val="004F774F"/>
    <w:rsid w:val="00505F5A"/>
    <w:rsid w:val="00531DBB"/>
    <w:rsid w:val="00537CCB"/>
    <w:rsid w:val="00543E3E"/>
    <w:rsid w:val="005549ED"/>
    <w:rsid w:val="00560182"/>
    <w:rsid w:val="00572618"/>
    <w:rsid w:val="005777C1"/>
    <w:rsid w:val="00583D84"/>
    <w:rsid w:val="00592D7B"/>
    <w:rsid w:val="005B5D7C"/>
    <w:rsid w:val="005B7B66"/>
    <w:rsid w:val="005D066B"/>
    <w:rsid w:val="005D64FA"/>
    <w:rsid w:val="005E2A98"/>
    <w:rsid w:val="005F4C0C"/>
    <w:rsid w:val="006060EE"/>
    <w:rsid w:val="006214D7"/>
    <w:rsid w:val="00624FDE"/>
    <w:rsid w:val="00632026"/>
    <w:rsid w:val="00644A98"/>
    <w:rsid w:val="00650DC2"/>
    <w:rsid w:val="00661C85"/>
    <w:rsid w:val="0066206E"/>
    <w:rsid w:val="006646E5"/>
    <w:rsid w:val="0067524F"/>
    <w:rsid w:val="006753CB"/>
    <w:rsid w:val="00676786"/>
    <w:rsid w:val="0067739E"/>
    <w:rsid w:val="0068557C"/>
    <w:rsid w:val="00691E2E"/>
    <w:rsid w:val="006A142E"/>
    <w:rsid w:val="006A2894"/>
    <w:rsid w:val="006A3897"/>
    <w:rsid w:val="006A6AF4"/>
    <w:rsid w:val="006B53DC"/>
    <w:rsid w:val="006B56E1"/>
    <w:rsid w:val="006C34A1"/>
    <w:rsid w:val="006D71ED"/>
    <w:rsid w:val="006E048C"/>
    <w:rsid w:val="006E7493"/>
    <w:rsid w:val="006F346D"/>
    <w:rsid w:val="00713C13"/>
    <w:rsid w:val="00714A12"/>
    <w:rsid w:val="0071686D"/>
    <w:rsid w:val="007238D6"/>
    <w:rsid w:val="007417CA"/>
    <w:rsid w:val="00741887"/>
    <w:rsid w:val="007548FD"/>
    <w:rsid w:val="007617F6"/>
    <w:rsid w:val="007676C8"/>
    <w:rsid w:val="00770853"/>
    <w:rsid w:val="0077712B"/>
    <w:rsid w:val="007841E7"/>
    <w:rsid w:val="007928CC"/>
    <w:rsid w:val="007B48DE"/>
    <w:rsid w:val="007B6EE5"/>
    <w:rsid w:val="007D139D"/>
    <w:rsid w:val="007D67CE"/>
    <w:rsid w:val="007E4CD0"/>
    <w:rsid w:val="007E6099"/>
    <w:rsid w:val="007E61A3"/>
    <w:rsid w:val="007F65BD"/>
    <w:rsid w:val="00817AA2"/>
    <w:rsid w:val="00820105"/>
    <w:rsid w:val="00836D44"/>
    <w:rsid w:val="00845226"/>
    <w:rsid w:val="0084741F"/>
    <w:rsid w:val="00852954"/>
    <w:rsid w:val="00891A8B"/>
    <w:rsid w:val="00892DF4"/>
    <w:rsid w:val="00897E24"/>
    <w:rsid w:val="008A13ED"/>
    <w:rsid w:val="008A261D"/>
    <w:rsid w:val="008A4206"/>
    <w:rsid w:val="008B691F"/>
    <w:rsid w:val="008C41DD"/>
    <w:rsid w:val="008C4482"/>
    <w:rsid w:val="008C789B"/>
    <w:rsid w:val="008D3AF3"/>
    <w:rsid w:val="008E5CE9"/>
    <w:rsid w:val="00901CBD"/>
    <w:rsid w:val="00907451"/>
    <w:rsid w:val="00921EAB"/>
    <w:rsid w:val="00952AE7"/>
    <w:rsid w:val="00956FEF"/>
    <w:rsid w:val="009611D3"/>
    <w:rsid w:val="009672DF"/>
    <w:rsid w:val="0098044D"/>
    <w:rsid w:val="009818E5"/>
    <w:rsid w:val="00984FB3"/>
    <w:rsid w:val="0098633B"/>
    <w:rsid w:val="009874D7"/>
    <w:rsid w:val="00995D7C"/>
    <w:rsid w:val="009A29EF"/>
    <w:rsid w:val="009A32CE"/>
    <w:rsid w:val="009A4C57"/>
    <w:rsid w:val="009A5E4A"/>
    <w:rsid w:val="009C273E"/>
    <w:rsid w:val="009D4A3C"/>
    <w:rsid w:val="009F069C"/>
    <w:rsid w:val="009F2FF9"/>
    <w:rsid w:val="00A01E1E"/>
    <w:rsid w:val="00A074F6"/>
    <w:rsid w:val="00A1161D"/>
    <w:rsid w:val="00A21005"/>
    <w:rsid w:val="00A2363A"/>
    <w:rsid w:val="00A25BBF"/>
    <w:rsid w:val="00A36454"/>
    <w:rsid w:val="00A44967"/>
    <w:rsid w:val="00A458B3"/>
    <w:rsid w:val="00A46685"/>
    <w:rsid w:val="00A60D55"/>
    <w:rsid w:val="00A65F94"/>
    <w:rsid w:val="00A70F6F"/>
    <w:rsid w:val="00A768A1"/>
    <w:rsid w:val="00A85E6E"/>
    <w:rsid w:val="00A935F3"/>
    <w:rsid w:val="00A964EF"/>
    <w:rsid w:val="00AC1290"/>
    <w:rsid w:val="00AD0389"/>
    <w:rsid w:val="00AD2489"/>
    <w:rsid w:val="00AD24B7"/>
    <w:rsid w:val="00AE35F2"/>
    <w:rsid w:val="00B02DEB"/>
    <w:rsid w:val="00B0601C"/>
    <w:rsid w:val="00B23B76"/>
    <w:rsid w:val="00B23C9B"/>
    <w:rsid w:val="00B2599D"/>
    <w:rsid w:val="00B40F71"/>
    <w:rsid w:val="00B547F4"/>
    <w:rsid w:val="00B56F36"/>
    <w:rsid w:val="00B62AEE"/>
    <w:rsid w:val="00B64C32"/>
    <w:rsid w:val="00B675A2"/>
    <w:rsid w:val="00B87693"/>
    <w:rsid w:val="00B95ED4"/>
    <w:rsid w:val="00BA0E4D"/>
    <w:rsid w:val="00BA36B1"/>
    <w:rsid w:val="00BC2372"/>
    <w:rsid w:val="00BE3321"/>
    <w:rsid w:val="00BF12D9"/>
    <w:rsid w:val="00BF1C0D"/>
    <w:rsid w:val="00C04B7C"/>
    <w:rsid w:val="00C05880"/>
    <w:rsid w:val="00C07684"/>
    <w:rsid w:val="00C07F03"/>
    <w:rsid w:val="00C168C0"/>
    <w:rsid w:val="00C222AF"/>
    <w:rsid w:val="00C25892"/>
    <w:rsid w:val="00C44E15"/>
    <w:rsid w:val="00C5428A"/>
    <w:rsid w:val="00C57674"/>
    <w:rsid w:val="00C618CD"/>
    <w:rsid w:val="00C61C9F"/>
    <w:rsid w:val="00C64FDB"/>
    <w:rsid w:val="00C72D86"/>
    <w:rsid w:val="00C7542E"/>
    <w:rsid w:val="00C8657B"/>
    <w:rsid w:val="00C976AC"/>
    <w:rsid w:val="00CA2A54"/>
    <w:rsid w:val="00CA4B40"/>
    <w:rsid w:val="00CA6CDC"/>
    <w:rsid w:val="00CB19D1"/>
    <w:rsid w:val="00CC1202"/>
    <w:rsid w:val="00CC2D22"/>
    <w:rsid w:val="00CC5CDC"/>
    <w:rsid w:val="00CF0BAC"/>
    <w:rsid w:val="00CF29D2"/>
    <w:rsid w:val="00D17DDA"/>
    <w:rsid w:val="00D32E4F"/>
    <w:rsid w:val="00D33D3B"/>
    <w:rsid w:val="00D35D41"/>
    <w:rsid w:val="00D36E74"/>
    <w:rsid w:val="00D54CE0"/>
    <w:rsid w:val="00D550AF"/>
    <w:rsid w:val="00D57305"/>
    <w:rsid w:val="00D677F6"/>
    <w:rsid w:val="00D75967"/>
    <w:rsid w:val="00D75EDA"/>
    <w:rsid w:val="00D8616C"/>
    <w:rsid w:val="00DB70E3"/>
    <w:rsid w:val="00DC32F9"/>
    <w:rsid w:val="00DC752B"/>
    <w:rsid w:val="00DE4075"/>
    <w:rsid w:val="00DE6C63"/>
    <w:rsid w:val="00DF27E6"/>
    <w:rsid w:val="00DF5F73"/>
    <w:rsid w:val="00E00483"/>
    <w:rsid w:val="00E20299"/>
    <w:rsid w:val="00E20BB6"/>
    <w:rsid w:val="00E30FFD"/>
    <w:rsid w:val="00E35D2D"/>
    <w:rsid w:val="00E37E64"/>
    <w:rsid w:val="00E56FC2"/>
    <w:rsid w:val="00E66D60"/>
    <w:rsid w:val="00E76358"/>
    <w:rsid w:val="00E91BA0"/>
    <w:rsid w:val="00E920D4"/>
    <w:rsid w:val="00E96D92"/>
    <w:rsid w:val="00E971BD"/>
    <w:rsid w:val="00ED73E4"/>
    <w:rsid w:val="00EE39C2"/>
    <w:rsid w:val="00EF6155"/>
    <w:rsid w:val="00F06D48"/>
    <w:rsid w:val="00F152E8"/>
    <w:rsid w:val="00F27B85"/>
    <w:rsid w:val="00F466F2"/>
    <w:rsid w:val="00F508F8"/>
    <w:rsid w:val="00F63067"/>
    <w:rsid w:val="00F67414"/>
    <w:rsid w:val="00F71053"/>
    <w:rsid w:val="00F76B05"/>
    <w:rsid w:val="00F77416"/>
    <w:rsid w:val="00F81F58"/>
    <w:rsid w:val="00F86364"/>
    <w:rsid w:val="00F9526D"/>
    <w:rsid w:val="00F97255"/>
    <w:rsid w:val="00FA35CD"/>
    <w:rsid w:val="00FB2497"/>
    <w:rsid w:val="00FC2D75"/>
    <w:rsid w:val="00FC759F"/>
    <w:rsid w:val="00FD0CA6"/>
    <w:rsid w:val="00FD157E"/>
    <w:rsid w:val="00FD3336"/>
    <w:rsid w:val="00FD5DEC"/>
    <w:rsid w:val="00FE3B61"/>
    <w:rsid w:val="00FE6E9B"/>
    <w:rsid w:val="00FF1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D24B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D24B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rsid w:val="00AD24B7"/>
    <w:rPr>
      <w:vertAlign w:val="superscript"/>
    </w:rPr>
  </w:style>
  <w:style w:type="character" w:styleId="Hipervnculo">
    <w:name w:val="Hyperlink"/>
    <w:basedOn w:val="Fuentedeprrafopredeter"/>
    <w:uiPriority w:val="99"/>
    <w:unhideWhenUsed/>
    <w:rsid w:val="00D75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edomex.gob.mx/transparenc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6847940-3F6D-42F6-B9BD-5D1E3E69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1201</Words>
  <Characters>6609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69</cp:revision>
  <cp:lastPrinted>2018-09-24T15:28:00Z</cp:lastPrinted>
  <dcterms:created xsi:type="dcterms:W3CDTF">2018-09-21T22:41:00Z</dcterms:created>
  <dcterms:modified xsi:type="dcterms:W3CDTF">2018-12-05T16:07:00Z</dcterms:modified>
</cp:coreProperties>
</file>